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0" w:type="dxa"/>
        <w:tblLayout w:type="fixed"/>
        <w:tblLook w:val="00A0" w:firstRow="1" w:lastRow="0" w:firstColumn="1" w:lastColumn="0" w:noHBand="0" w:noVBand="0"/>
      </w:tblPr>
      <w:tblGrid>
        <w:gridCol w:w="5120"/>
        <w:gridCol w:w="50"/>
        <w:gridCol w:w="5170"/>
      </w:tblGrid>
      <w:tr w:rsidR="0017759C" w14:paraId="31F38611" w14:textId="77777777" w:rsidTr="00D76428">
        <w:tc>
          <w:tcPr>
            <w:tcW w:w="5120" w:type="dxa"/>
            <w:shd w:val="clear" w:color="auto" w:fill="auto"/>
          </w:tcPr>
          <w:p w14:paraId="6D5678FA" w14:textId="3E5DFD4D" w:rsidR="0017759C" w:rsidRDefault="00F53618" w:rsidP="00F53618">
            <w:pPr>
              <w:jc w:val="center"/>
            </w:pPr>
            <w:r>
              <w:rPr>
                <w:noProof/>
              </w:rPr>
              <w:drawing>
                <wp:inline distT="0" distB="0" distL="0" distR="0" wp14:anchorId="36CB5A3A" wp14:editId="12DF44CE">
                  <wp:extent cx="1798320" cy="58782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RGIA-FS-2CB-768x25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511" cy="604888"/>
                          </a:xfrm>
                          <a:prstGeom prst="rect">
                            <a:avLst/>
                          </a:prstGeom>
                        </pic:spPr>
                      </pic:pic>
                    </a:graphicData>
                  </a:graphic>
                </wp:inline>
              </w:drawing>
            </w:r>
          </w:p>
        </w:tc>
        <w:tc>
          <w:tcPr>
            <w:tcW w:w="5220" w:type="dxa"/>
            <w:gridSpan w:val="2"/>
            <w:shd w:val="clear" w:color="auto" w:fill="auto"/>
            <w:vAlign w:val="center"/>
          </w:tcPr>
          <w:p w14:paraId="296C11CC" w14:textId="77777777" w:rsidR="0017759C" w:rsidRPr="00C2322F" w:rsidRDefault="0017759C" w:rsidP="00C2322F">
            <w:pPr>
              <w:jc w:val="center"/>
              <w:rPr>
                <w:sz w:val="52"/>
              </w:rPr>
            </w:pPr>
            <w:r w:rsidRPr="00C2322F">
              <w:rPr>
                <w:sz w:val="52"/>
              </w:rPr>
              <w:t>SYLLABUS</w:t>
            </w:r>
          </w:p>
        </w:tc>
      </w:tr>
      <w:tr w:rsidR="0017759C" w:rsidRPr="00C2322F" w14:paraId="34FFCE38" w14:textId="77777777" w:rsidTr="00D76428">
        <w:tc>
          <w:tcPr>
            <w:tcW w:w="10340" w:type="dxa"/>
            <w:gridSpan w:val="3"/>
            <w:shd w:val="pct90" w:color="auto" w:fill="auto"/>
          </w:tcPr>
          <w:p w14:paraId="666B148A" w14:textId="77777777" w:rsidR="0017759C" w:rsidRPr="00C2322F" w:rsidRDefault="0017759C">
            <w:pPr>
              <w:rPr>
                <w:sz w:val="10"/>
              </w:rPr>
            </w:pPr>
          </w:p>
        </w:tc>
      </w:tr>
      <w:tr w:rsidR="00396748" w:rsidRPr="00C2322F" w14:paraId="4449F119" w14:textId="77777777" w:rsidTr="00D76428">
        <w:tc>
          <w:tcPr>
            <w:tcW w:w="10340" w:type="dxa"/>
            <w:gridSpan w:val="3"/>
            <w:shd w:val="clear" w:color="auto" w:fill="auto"/>
          </w:tcPr>
          <w:p w14:paraId="54971D40" w14:textId="77777777" w:rsidR="00396748" w:rsidRPr="00C2322F" w:rsidRDefault="00396748" w:rsidP="006F1AEA">
            <w:pPr>
              <w:rPr>
                <w:sz w:val="20"/>
              </w:rPr>
            </w:pPr>
          </w:p>
        </w:tc>
      </w:tr>
      <w:tr w:rsidR="0017759C" w:rsidRPr="00C2322F" w14:paraId="6AB4410D" w14:textId="77777777" w:rsidTr="00D76428">
        <w:trPr>
          <w:trHeight w:val="89"/>
        </w:trPr>
        <w:tc>
          <w:tcPr>
            <w:tcW w:w="10340" w:type="dxa"/>
            <w:gridSpan w:val="3"/>
            <w:shd w:val="clear" w:color="auto" w:fill="auto"/>
          </w:tcPr>
          <w:p w14:paraId="63B3258B" w14:textId="0FA4F0CB" w:rsidR="0017759C" w:rsidRPr="00C2322F" w:rsidRDefault="0017759C">
            <w:pPr>
              <w:rPr>
                <w:sz w:val="10"/>
              </w:rPr>
            </w:pPr>
          </w:p>
        </w:tc>
      </w:tr>
      <w:tr w:rsidR="005D4649" w14:paraId="4C340386" w14:textId="77777777" w:rsidTr="005D4649">
        <w:trPr>
          <w:trHeight w:val="288"/>
        </w:trPr>
        <w:tc>
          <w:tcPr>
            <w:tcW w:w="5170" w:type="dxa"/>
            <w:gridSpan w:val="2"/>
            <w:shd w:val="clear" w:color="auto" w:fill="auto"/>
            <w:vAlign w:val="center"/>
          </w:tcPr>
          <w:p w14:paraId="754CFBA3" w14:textId="4C44741E" w:rsidR="005D4649" w:rsidRPr="00C2322F" w:rsidRDefault="005D4649" w:rsidP="005D4649">
            <w:pPr>
              <w:rPr>
                <w:rFonts w:ascii="Arial" w:hAnsi="Arial" w:cs="Arial"/>
                <w:sz w:val="20"/>
              </w:rPr>
            </w:pPr>
            <w:r>
              <w:rPr>
                <w:rFonts w:ascii="Arial" w:hAnsi="Arial" w:cs="Arial"/>
                <w:sz w:val="20"/>
              </w:rPr>
              <w:t>Constitutional Law: Powers</w:t>
            </w:r>
          </w:p>
        </w:tc>
        <w:tc>
          <w:tcPr>
            <w:tcW w:w="5170" w:type="dxa"/>
            <w:shd w:val="clear" w:color="auto" w:fill="auto"/>
            <w:vAlign w:val="center"/>
          </w:tcPr>
          <w:p w14:paraId="7F53C831" w14:textId="086CCF3E" w:rsidR="005D4649" w:rsidRPr="00C2322F" w:rsidRDefault="005D4649" w:rsidP="005D4649">
            <w:pPr>
              <w:jc w:val="right"/>
              <w:rPr>
                <w:rFonts w:ascii="Arial" w:hAnsi="Arial" w:cs="Arial"/>
                <w:sz w:val="20"/>
              </w:rPr>
            </w:pPr>
            <w:r>
              <w:rPr>
                <w:rFonts w:ascii="Arial" w:hAnsi="Arial" w:cs="Arial"/>
                <w:sz w:val="20"/>
              </w:rPr>
              <w:t>MWF 1:50-2:40 PM</w:t>
            </w:r>
          </w:p>
        </w:tc>
      </w:tr>
      <w:tr w:rsidR="005D4649" w14:paraId="00088E5C" w14:textId="77777777" w:rsidTr="005D4649">
        <w:trPr>
          <w:trHeight w:val="288"/>
        </w:trPr>
        <w:tc>
          <w:tcPr>
            <w:tcW w:w="5170" w:type="dxa"/>
            <w:gridSpan w:val="2"/>
            <w:shd w:val="clear" w:color="auto" w:fill="auto"/>
            <w:vAlign w:val="center"/>
          </w:tcPr>
          <w:p w14:paraId="77D4776B" w14:textId="01DD7703" w:rsidR="005D4649" w:rsidRDefault="005D4649" w:rsidP="005D4649">
            <w:pPr>
              <w:rPr>
                <w:rFonts w:ascii="Arial" w:hAnsi="Arial" w:cs="Arial"/>
                <w:sz w:val="20"/>
              </w:rPr>
            </w:pPr>
            <w:r>
              <w:rPr>
                <w:rFonts w:ascii="Arial" w:hAnsi="Arial" w:cs="Arial"/>
                <w:sz w:val="20"/>
              </w:rPr>
              <w:t>POLS 4700</w:t>
            </w:r>
          </w:p>
        </w:tc>
        <w:tc>
          <w:tcPr>
            <w:tcW w:w="5170" w:type="dxa"/>
            <w:shd w:val="clear" w:color="auto" w:fill="auto"/>
            <w:vAlign w:val="center"/>
          </w:tcPr>
          <w:p w14:paraId="2CF64D84" w14:textId="1DC25407" w:rsidR="005D4649" w:rsidRDefault="005D4649" w:rsidP="00445816">
            <w:pPr>
              <w:jc w:val="right"/>
              <w:rPr>
                <w:rFonts w:ascii="Arial" w:hAnsi="Arial" w:cs="Arial"/>
                <w:sz w:val="20"/>
              </w:rPr>
            </w:pPr>
            <w:r>
              <w:rPr>
                <w:rFonts w:ascii="Arial" w:hAnsi="Arial" w:cs="Arial"/>
                <w:sz w:val="20"/>
              </w:rPr>
              <w:t>Fall 2023</w:t>
            </w:r>
          </w:p>
        </w:tc>
      </w:tr>
      <w:tr w:rsidR="005D4649" w14:paraId="6BBA3C91" w14:textId="77777777" w:rsidTr="005D4649">
        <w:trPr>
          <w:trHeight w:val="288"/>
        </w:trPr>
        <w:tc>
          <w:tcPr>
            <w:tcW w:w="5170" w:type="dxa"/>
            <w:gridSpan w:val="2"/>
            <w:shd w:val="clear" w:color="auto" w:fill="auto"/>
            <w:vAlign w:val="center"/>
          </w:tcPr>
          <w:p w14:paraId="051BE58C" w14:textId="12F258E0" w:rsidR="005D4649" w:rsidRDefault="005D4649" w:rsidP="005D4649">
            <w:pPr>
              <w:rPr>
                <w:rFonts w:ascii="Arial" w:hAnsi="Arial" w:cs="Arial"/>
                <w:sz w:val="20"/>
              </w:rPr>
            </w:pPr>
            <w:r>
              <w:rPr>
                <w:rFonts w:ascii="Arial" w:hAnsi="Arial" w:cs="Arial"/>
                <w:sz w:val="20"/>
              </w:rPr>
              <w:t xml:space="preserve">Section </w:t>
            </w:r>
            <w:r w:rsidR="004415F9" w:rsidRPr="004415F9">
              <w:rPr>
                <w:rFonts w:ascii="Arial" w:hAnsi="Arial" w:cs="Arial"/>
                <w:sz w:val="20"/>
              </w:rPr>
              <w:t>24604</w:t>
            </w:r>
          </w:p>
        </w:tc>
        <w:tc>
          <w:tcPr>
            <w:tcW w:w="5170" w:type="dxa"/>
            <w:shd w:val="clear" w:color="auto" w:fill="auto"/>
            <w:vAlign w:val="center"/>
          </w:tcPr>
          <w:p w14:paraId="1A41DCA4" w14:textId="08B933C0" w:rsidR="005D4649" w:rsidRDefault="005D4649" w:rsidP="005D4649">
            <w:pPr>
              <w:jc w:val="right"/>
              <w:rPr>
                <w:rFonts w:ascii="Arial" w:hAnsi="Arial" w:cs="Arial"/>
                <w:sz w:val="20"/>
              </w:rPr>
            </w:pPr>
            <w:r>
              <w:rPr>
                <w:rFonts w:ascii="Arial" w:hAnsi="Arial" w:cs="Arial"/>
                <w:sz w:val="20"/>
              </w:rPr>
              <w:t>Baldwin 301</w:t>
            </w:r>
          </w:p>
        </w:tc>
      </w:tr>
      <w:tr w:rsidR="00396748" w:rsidRPr="00C2322F" w14:paraId="5F74BDE1" w14:textId="77777777" w:rsidTr="00D76428">
        <w:tc>
          <w:tcPr>
            <w:tcW w:w="10340" w:type="dxa"/>
            <w:gridSpan w:val="3"/>
            <w:shd w:val="clear" w:color="auto" w:fill="auto"/>
          </w:tcPr>
          <w:p w14:paraId="70895452" w14:textId="2ABBF2A0" w:rsidR="00396748" w:rsidRPr="00C2322F" w:rsidRDefault="00396748" w:rsidP="006F1AEA">
            <w:pPr>
              <w:rPr>
                <w:rFonts w:ascii="Arial" w:hAnsi="Arial" w:cs="Arial"/>
                <w:sz w:val="20"/>
              </w:rPr>
            </w:pPr>
          </w:p>
        </w:tc>
      </w:tr>
      <w:tr w:rsidR="006A74A2" w:rsidRPr="00C2322F" w14:paraId="0DFDE0D0" w14:textId="77777777" w:rsidTr="00D76428">
        <w:tc>
          <w:tcPr>
            <w:tcW w:w="10340" w:type="dxa"/>
            <w:gridSpan w:val="3"/>
            <w:shd w:val="clear" w:color="auto" w:fill="auto"/>
            <w:vAlign w:val="center"/>
          </w:tcPr>
          <w:p w14:paraId="1CA556C1" w14:textId="77777777" w:rsidR="006A74A2" w:rsidRPr="00C2322F" w:rsidRDefault="006A74A2" w:rsidP="00C2322F">
            <w:pPr>
              <w:jc w:val="center"/>
              <w:rPr>
                <w:rFonts w:ascii="Arial" w:hAnsi="Arial" w:cs="Arial"/>
                <w:b/>
                <w:sz w:val="20"/>
              </w:rPr>
            </w:pPr>
            <w:r w:rsidRPr="00C2322F">
              <w:rPr>
                <w:rFonts w:ascii="Arial" w:hAnsi="Arial" w:cs="Arial"/>
                <w:b/>
                <w:sz w:val="20"/>
              </w:rPr>
              <w:t>Course Description and Prerequisites</w:t>
            </w:r>
          </w:p>
        </w:tc>
      </w:tr>
      <w:tr w:rsidR="006A74A2" w:rsidRPr="00C2322F" w14:paraId="0B3CCCBC" w14:textId="77777777" w:rsidTr="00D76428">
        <w:trPr>
          <w:trHeight w:val="89"/>
        </w:trPr>
        <w:tc>
          <w:tcPr>
            <w:tcW w:w="10340" w:type="dxa"/>
            <w:gridSpan w:val="3"/>
            <w:shd w:val="clear" w:color="auto" w:fill="auto"/>
          </w:tcPr>
          <w:p w14:paraId="5FA655F7" w14:textId="77777777" w:rsidR="006A74A2" w:rsidRPr="00C2322F" w:rsidRDefault="006A74A2" w:rsidP="006F1AEA">
            <w:pPr>
              <w:rPr>
                <w:rFonts w:ascii="Arial" w:hAnsi="Arial" w:cs="Arial"/>
                <w:sz w:val="10"/>
              </w:rPr>
            </w:pPr>
          </w:p>
        </w:tc>
      </w:tr>
      <w:tr w:rsidR="006A74A2" w:rsidRPr="00C2322F" w14:paraId="742224D7" w14:textId="77777777" w:rsidTr="00D76428">
        <w:tc>
          <w:tcPr>
            <w:tcW w:w="10340" w:type="dxa"/>
            <w:gridSpan w:val="3"/>
            <w:shd w:val="clear" w:color="auto" w:fill="auto"/>
          </w:tcPr>
          <w:p w14:paraId="54164F23" w14:textId="77777777" w:rsidR="000B6CFA" w:rsidRDefault="008478F4" w:rsidP="009F263F">
            <w:pPr>
              <w:rPr>
                <w:rFonts w:ascii="Arial" w:hAnsi="Arial" w:cs="Arial"/>
                <w:sz w:val="20"/>
                <w:szCs w:val="20"/>
                <w:lang w:val="en"/>
              </w:rPr>
            </w:pPr>
            <w:r w:rsidRPr="008478F4">
              <w:rPr>
                <w:rFonts w:ascii="Arial" w:hAnsi="Arial" w:cs="Arial"/>
                <w:sz w:val="20"/>
                <w:szCs w:val="20"/>
                <w:lang w:val="en"/>
              </w:rPr>
              <w:t>Supreme court cases on the separation of powers, national and state regulatory powers, the federal system, and the role of the courts.</w:t>
            </w:r>
          </w:p>
          <w:p w14:paraId="10DF23F5" w14:textId="77777777" w:rsidR="000B6CFA" w:rsidRDefault="000B6CFA" w:rsidP="009F263F">
            <w:pPr>
              <w:rPr>
                <w:rFonts w:ascii="Arial" w:hAnsi="Arial" w:cs="Arial"/>
                <w:sz w:val="20"/>
                <w:szCs w:val="20"/>
                <w:lang w:val="en"/>
              </w:rPr>
            </w:pPr>
          </w:p>
          <w:p w14:paraId="170E995C" w14:textId="77777777" w:rsidR="000B6CFA" w:rsidRPr="000B6CFA" w:rsidRDefault="000B6CFA" w:rsidP="000B6CFA">
            <w:pPr>
              <w:rPr>
                <w:rFonts w:ascii="Arial" w:hAnsi="Arial" w:cs="Arial"/>
                <w:sz w:val="20"/>
                <w:szCs w:val="20"/>
                <w:lang w:val="en"/>
              </w:rPr>
            </w:pPr>
            <w:r w:rsidRPr="000B6CFA">
              <w:rPr>
                <w:rFonts w:ascii="Arial" w:hAnsi="Arial" w:cs="Arial"/>
                <w:sz w:val="20"/>
                <w:szCs w:val="20"/>
                <w:lang w:val="en"/>
              </w:rPr>
              <w:t>Students will be able to:</w:t>
            </w:r>
          </w:p>
          <w:p w14:paraId="6C172569" w14:textId="6BA18C10" w:rsidR="000B6CFA" w:rsidRPr="000B6CFA" w:rsidRDefault="000B6CFA" w:rsidP="000B6CFA">
            <w:pPr>
              <w:pStyle w:val="ListParagraph"/>
              <w:numPr>
                <w:ilvl w:val="0"/>
                <w:numId w:val="6"/>
              </w:numPr>
              <w:rPr>
                <w:rFonts w:ascii="Arial" w:hAnsi="Arial" w:cs="Arial"/>
                <w:sz w:val="20"/>
                <w:szCs w:val="20"/>
                <w:lang w:val="en"/>
              </w:rPr>
            </w:pPr>
            <w:r w:rsidRPr="000B6CFA">
              <w:rPr>
                <w:rFonts w:ascii="Arial" w:hAnsi="Arial" w:cs="Arial"/>
                <w:sz w:val="20"/>
                <w:szCs w:val="20"/>
                <w:lang w:val="en"/>
              </w:rPr>
              <w:t xml:space="preserve">Read and summarize Supreme Court opinions on constitutional </w:t>
            </w:r>
            <w:proofErr w:type="gramStart"/>
            <w:r w:rsidRPr="000B6CFA">
              <w:rPr>
                <w:rFonts w:ascii="Arial" w:hAnsi="Arial" w:cs="Arial"/>
                <w:sz w:val="20"/>
                <w:szCs w:val="20"/>
                <w:lang w:val="en"/>
              </w:rPr>
              <w:t>law</w:t>
            </w:r>
            <w:proofErr w:type="gramEnd"/>
          </w:p>
          <w:p w14:paraId="4811FF87" w14:textId="7EDFD2A9" w:rsidR="000B6CFA" w:rsidRPr="000B6CFA" w:rsidRDefault="000B6CFA" w:rsidP="000B6CFA">
            <w:pPr>
              <w:pStyle w:val="ListParagraph"/>
              <w:numPr>
                <w:ilvl w:val="0"/>
                <w:numId w:val="6"/>
              </w:numPr>
              <w:rPr>
                <w:rFonts w:ascii="Arial" w:hAnsi="Arial" w:cs="Arial"/>
                <w:sz w:val="20"/>
                <w:szCs w:val="20"/>
                <w:lang w:val="en"/>
              </w:rPr>
            </w:pPr>
            <w:r w:rsidRPr="000B6CFA">
              <w:rPr>
                <w:rFonts w:ascii="Arial" w:hAnsi="Arial" w:cs="Arial"/>
                <w:sz w:val="20"/>
                <w:szCs w:val="20"/>
                <w:lang w:val="en"/>
              </w:rPr>
              <w:t>Understand historical development and key precedents in constitutional law.</w:t>
            </w:r>
          </w:p>
          <w:p w14:paraId="6B903514" w14:textId="7584B34F" w:rsidR="000B6CFA" w:rsidRPr="000B6CFA" w:rsidRDefault="000B6CFA" w:rsidP="000B6CFA">
            <w:pPr>
              <w:pStyle w:val="ListParagraph"/>
              <w:numPr>
                <w:ilvl w:val="0"/>
                <w:numId w:val="6"/>
              </w:numPr>
              <w:rPr>
                <w:rFonts w:ascii="Arial" w:hAnsi="Arial" w:cs="Arial"/>
                <w:sz w:val="20"/>
                <w:szCs w:val="20"/>
                <w:lang w:val="en"/>
              </w:rPr>
            </w:pPr>
            <w:r w:rsidRPr="000B6CFA">
              <w:rPr>
                <w:rFonts w:ascii="Arial" w:hAnsi="Arial" w:cs="Arial"/>
                <w:sz w:val="20"/>
                <w:szCs w:val="20"/>
                <w:lang w:val="en"/>
              </w:rPr>
              <w:t xml:space="preserve">Discuss constitutional principles as they apply to the separation of powers, federalism, and the relationship between government action and economic </w:t>
            </w:r>
            <w:proofErr w:type="gramStart"/>
            <w:r w:rsidRPr="000B6CFA">
              <w:rPr>
                <w:rFonts w:ascii="Arial" w:hAnsi="Arial" w:cs="Arial"/>
                <w:sz w:val="20"/>
                <w:szCs w:val="20"/>
                <w:lang w:val="en"/>
              </w:rPr>
              <w:t>activity</w:t>
            </w:r>
            <w:proofErr w:type="gramEnd"/>
          </w:p>
          <w:p w14:paraId="36870045" w14:textId="5B732646" w:rsidR="008C6CBC" w:rsidRPr="00C2322F" w:rsidRDefault="00D76428" w:rsidP="009F263F">
            <w:pPr>
              <w:rPr>
                <w:rFonts w:ascii="Arial" w:hAnsi="Arial" w:cs="Arial"/>
                <w:sz w:val="20"/>
                <w:szCs w:val="20"/>
              </w:rPr>
            </w:pPr>
            <w:r w:rsidRPr="00D76428">
              <w:rPr>
                <w:rFonts w:ascii="Arial" w:hAnsi="Arial" w:cs="Arial"/>
                <w:sz w:val="20"/>
                <w:szCs w:val="20"/>
                <w:lang w:val="en"/>
              </w:rPr>
              <w:br/>
            </w:r>
            <w:r w:rsidRPr="00D76428">
              <w:rPr>
                <w:rFonts w:ascii="Arial" w:hAnsi="Arial" w:cs="Arial"/>
                <w:b/>
                <w:bCs/>
                <w:sz w:val="20"/>
                <w:szCs w:val="20"/>
                <w:lang w:val="en"/>
              </w:rPr>
              <w:t>Prerequisites:</w:t>
            </w:r>
            <w:r w:rsidRPr="00D76428">
              <w:rPr>
                <w:rFonts w:ascii="Arial" w:hAnsi="Arial" w:cs="Arial"/>
                <w:sz w:val="20"/>
                <w:szCs w:val="20"/>
                <w:lang w:val="en"/>
              </w:rPr>
              <w:t xml:space="preserve"> </w:t>
            </w:r>
            <w:r w:rsidRPr="00485AB3">
              <w:rPr>
                <w:rFonts w:ascii="Arial" w:hAnsi="Arial" w:cs="Arial"/>
                <w:sz w:val="20"/>
                <w:szCs w:val="20"/>
                <w:lang w:val="en"/>
              </w:rPr>
              <w:t>POLS </w:t>
            </w:r>
            <w:r w:rsidR="008478F4">
              <w:rPr>
                <w:rFonts w:ascii="Arial" w:hAnsi="Arial" w:cs="Arial"/>
                <w:sz w:val="20"/>
                <w:szCs w:val="20"/>
                <w:lang w:val="en"/>
              </w:rPr>
              <w:t>1101.</w:t>
            </w:r>
          </w:p>
        </w:tc>
      </w:tr>
      <w:tr w:rsidR="006A74A2" w:rsidRPr="00C2322F" w14:paraId="6D97A2B5" w14:textId="77777777" w:rsidTr="00D76428">
        <w:tc>
          <w:tcPr>
            <w:tcW w:w="10340" w:type="dxa"/>
            <w:gridSpan w:val="3"/>
            <w:shd w:val="clear" w:color="auto" w:fill="auto"/>
          </w:tcPr>
          <w:p w14:paraId="5CEC3AC6" w14:textId="77777777" w:rsidR="006A74A2" w:rsidRPr="00C2322F" w:rsidRDefault="006A74A2" w:rsidP="006F1AEA">
            <w:pPr>
              <w:rPr>
                <w:rFonts w:ascii="Arial" w:hAnsi="Arial" w:cs="Arial"/>
                <w:sz w:val="20"/>
              </w:rPr>
            </w:pPr>
          </w:p>
        </w:tc>
      </w:tr>
      <w:tr w:rsidR="0017759C" w:rsidRPr="00C2322F" w14:paraId="0EA2E819" w14:textId="77777777" w:rsidTr="00D76428">
        <w:tc>
          <w:tcPr>
            <w:tcW w:w="10340" w:type="dxa"/>
            <w:gridSpan w:val="3"/>
            <w:shd w:val="clear" w:color="auto" w:fill="auto"/>
            <w:vAlign w:val="center"/>
          </w:tcPr>
          <w:p w14:paraId="700F1B9A" w14:textId="77777777" w:rsidR="0017759C" w:rsidRPr="00C2322F" w:rsidRDefault="0017759C" w:rsidP="00C2322F">
            <w:pPr>
              <w:jc w:val="center"/>
              <w:rPr>
                <w:rFonts w:ascii="Arial" w:hAnsi="Arial" w:cs="Arial"/>
                <w:b/>
                <w:sz w:val="20"/>
              </w:rPr>
            </w:pPr>
            <w:r w:rsidRPr="00C2322F">
              <w:rPr>
                <w:rFonts w:ascii="Arial" w:hAnsi="Arial" w:cs="Arial"/>
                <w:b/>
                <w:sz w:val="20"/>
              </w:rPr>
              <w:t>Instructor Information</w:t>
            </w:r>
          </w:p>
        </w:tc>
      </w:tr>
      <w:tr w:rsidR="00396748" w:rsidRPr="00C2322F" w14:paraId="1E4F94B5" w14:textId="77777777" w:rsidTr="00D76428">
        <w:tc>
          <w:tcPr>
            <w:tcW w:w="10340" w:type="dxa"/>
            <w:gridSpan w:val="3"/>
            <w:shd w:val="clear" w:color="auto" w:fill="auto"/>
          </w:tcPr>
          <w:p w14:paraId="1585BBE8" w14:textId="6E84649F" w:rsidR="000463E9" w:rsidRDefault="004A2046" w:rsidP="004A2046">
            <w:pPr>
              <w:tabs>
                <w:tab w:val="right" w:pos="10124"/>
              </w:tabs>
              <w:rPr>
                <w:rFonts w:ascii="Arial" w:hAnsi="Arial" w:cs="Arial"/>
                <w:sz w:val="20"/>
              </w:rPr>
            </w:pPr>
            <w:r>
              <w:rPr>
                <w:rFonts w:ascii="Arial" w:hAnsi="Arial" w:cs="Arial"/>
                <w:sz w:val="20"/>
              </w:rPr>
              <w:t>Garrett N. Vande Kamp</w:t>
            </w:r>
            <w:r>
              <w:rPr>
                <w:rFonts w:ascii="Arial" w:hAnsi="Arial" w:cs="Arial"/>
                <w:sz w:val="20"/>
              </w:rPr>
              <w:tab/>
            </w:r>
            <w:r w:rsidR="005D4649">
              <w:rPr>
                <w:rFonts w:ascii="Arial" w:hAnsi="Arial" w:cs="Arial"/>
                <w:sz w:val="20"/>
              </w:rPr>
              <w:t>Office Hours: T 2:00-4:00</w:t>
            </w:r>
          </w:p>
          <w:p w14:paraId="79333CE8" w14:textId="27AC26F5" w:rsidR="004A2046" w:rsidRDefault="004A2046" w:rsidP="004A2046">
            <w:pPr>
              <w:tabs>
                <w:tab w:val="right" w:pos="10124"/>
              </w:tabs>
              <w:rPr>
                <w:rFonts w:ascii="Arial" w:hAnsi="Arial" w:cs="Arial"/>
                <w:sz w:val="20"/>
              </w:rPr>
            </w:pPr>
            <w:r>
              <w:rPr>
                <w:rFonts w:ascii="Arial" w:hAnsi="Arial" w:cs="Arial"/>
                <w:sz w:val="20"/>
              </w:rPr>
              <w:t>garrettvandekamp@uga.edu</w:t>
            </w:r>
            <w:r>
              <w:rPr>
                <w:rFonts w:ascii="Arial" w:hAnsi="Arial" w:cs="Arial"/>
                <w:sz w:val="20"/>
              </w:rPr>
              <w:tab/>
            </w:r>
            <w:r w:rsidR="005D4649">
              <w:rPr>
                <w:rFonts w:ascii="Arial" w:hAnsi="Arial" w:cs="Arial"/>
                <w:sz w:val="20"/>
              </w:rPr>
              <w:t>Baldwin 409</w:t>
            </w:r>
          </w:p>
          <w:p w14:paraId="66747F96" w14:textId="41912B34" w:rsidR="004A2046" w:rsidRPr="00C2322F" w:rsidRDefault="004A2046" w:rsidP="004A2046">
            <w:pPr>
              <w:tabs>
                <w:tab w:val="right" w:pos="10124"/>
              </w:tabs>
              <w:rPr>
                <w:rFonts w:ascii="Arial" w:hAnsi="Arial" w:cs="Arial"/>
                <w:sz w:val="20"/>
              </w:rPr>
            </w:pPr>
          </w:p>
        </w:tc>
      </w:tr>
      <w:tr w:rsidR="00654087" w:rsidRPr="00C2322F" w14:paraId="5A9024C0" w14:textId="77777777" w:rsidTr="00D76428">
        <w:tc>
          <w:tcPr>
            <w:tcW w:w="10340" w:type="dxa"/>
            <w:gridSpan w:val="3"/>
            <w:shd w:val="clear" w:color="auto" w:fill="auto"/>
          </w:tcPr>
          <w:p w14:paraId="6E0896DA" w14:textId="77777777" w:rsidR="00654087" w:rsidRPr="00C2322F" w:rsidRDefault="00654087" w:rsidP="00C2322F">
            <w:pPr>
              <w:jc w:val="center"/>
              <w:rPr>
                <w:rFonts w:ascii="Arial" w:hAnsi="Arial" w:cs="Arial"/>
                <w:b/>
                <w:sz w:val="20"/>
              </w:rPr>
            </w:pPr>
            <w:r w:rsidRPr="00C2322F">
              <w:rPr>
                <w:rFonts w:ascii="Arial" w:hAnsi="Arial" w:cs="Arial"/>
                <w:b/>
                <w:sz w:val="20"/>
              </w:rPr>
              <w:t>Textbook and/or Resource Material</w:t>
            </w:r>
          </w:p>
        </w:tc>
      </w:tr>
      <w:tr w:rsidR="00654087" w:rsidRPr="00C2322F" w14:paraId="0BA4969D" w14:textId="77777777" w:rsidTr="00D76428">
        <w:trPr>
          <w:trHeight w:val="89"/>
        </w:trPr>
        <w:tc>
          <w:tcPr>
            <w:tcW w:w="10340" w:type="dxa"/>
            <w:gridSpan w:val="3"/>
            <w:shd w:val="clear" w:color="auto" w:fill="auto"/>
          </w:tcPr>
          <w:p w14:paraId="66DEC7D1" w14:textId="77777777" w:rsidR="00654087" w:rsidRPr="00C2322F" w:rsidRDefault="00654087" w:rsidP="00F64EA4">
            <w:pPr>
              <w:jc w:val="right"/>
              <w:rPr>
                <w:rFonts w:ascii="Arial" w:hAnsi="Arial" w:cs="Arial"/>
                <w:sz w:val="10"/>
              </w:rPr>
            </w:pPr>
          </w:p>
        </w:tc>
      </w:tr>
      <w:tr w:rsidR="00654087" w:rsidRPr="00C2322F" w14:paraId="68E7AC89" w14:textId="77777777" w:rsidTr="00D76428">
        <w:tc>
          <w:tcPr>
            <w:tcW w:w="10340" w:type="dxa"/>
            <w:gridSpan w:val="3"/>
            <w:shd w:val="clear" w:color="auto" w:fill="auto"/>
          </w:tcPr>
          <w:p w14:paraId="4432B7E9" w14:textId="1ADD8474" w:rsidR="00654087" w:rsidRDefault="000C158F" w:rsidP="0017759C">
            <w:pPr>
              <w:rPr>
                <w:rFonts w:ascii="Arial" w:hAnsi="Arial" w:cs="Arial"/>
                <w:sz w:val="20"/>
              </w:rPr>
            </w:pPr>
            <w:r w:rsidRPr="000C158F">
              <w:rPr>
                <w:rFonts w:ascii="Arial" w:hAnsi="Arial" w:cs="Arial"/>
                <w:sz w:val="20"/>
              </w:rPr>
              <w:t>Textbook</w:t>
            </w:r>
            <w:r>
              <w:rPr>
                <w:rFonts w:ascii="Arial" w:hAnsi="Arial" w:cs="Arial"/>
                <w:i/>
                <w:sz w:val="20"/>
              </w:rPr>
              <w:t xml:space="preserve">: </w:t>
            </w:r>
            <w:r w:rsidR="00193C9B">
              <w:rPr>
                <w:rFonts w:ascii="Arial" w:hAnsi="Arial" w:cs="Arial"/>
                <w:i/>
                <w:sz w:val="20"/>
              </w:rPr>
              <w:t xml:space="preserve">Constitutional Law for a Changing America: </w:t>
            </w:r>
            <w:r w:rsidR="00FE5457">
              <w:rPr>
                <w:rFonts w:ascii="Arial" w:hAnsi="Arial" w:cs="Arial"/>
                <w:i/>
                <w:sz w:val="20"/>
              </w:rPr>
              <w:t>Institutional Powers and Constraints</w:t>
            </w:r>
            <w:r w:rsidR="00193C9B">
              <w:rPr>
                <w:rFonts w:ascii="Arial" w:hAnsi="Arial" w:cs="Arial"/>
                <w:sz w:val="20"/>
              </w:rPr>
              <w:t xml:space="preserve">, </w:t>
            </w:r>
            <w:r w:rsidR="00EB614B">
              <w:rPr>
                <w:rFonts w:ascii="Arial" w:hAnsi="Arial" w:cs="Arial"/>
                <w:sz w:val="20"/>
              </w:rPr>
              <w:t>1</w:t>
            </w:r>
            <w:r w:rsidR="00F97A7F">
              <w:rPr>
                <w:rFonts w:ascii="Arial" w:hAnsi="Arial" w:cs="Arial"/>
                <w:sz w:val="20"/>
              </w:rPr>
              <w:t>0</w:t>
            </w:r>
            <w:r w:rsidR="00D76428" w:rsidRPr="00D76428">
              <w:rPr>
                <w:rFonts w:ascii="Arial" w:hAnsi="Arial" w:cs="Arial"/>
                <w:sz w:val="20"/>
                <w:vertAlign w:val="superscript"/>
              </w:rPr>
              <w:t>th</w:t>
            </w:r>
            <w:r w:rsidR="00D76428">
              <w:rPr>
                <w:rFonts w:ascii="Arial" w:hAnsi="Arial" w:cs="Arial"/>
                <w:sz w:val="20"/>
              </w:rPr>
              <w:t xml:space="preserve"> Edition. </w:t>
            </w:r>
            <w:r w:rsidR="00193C9B">
              <w:rPr>
                <w:rFonts w:ascii="Arial" w:hAnsi="Arial" w:cs="Arial"/>
                <w:sz w:val="20"/>
              </w:rPr>
              <w:t>Epst</w:t>
            </w:r>
            <w:r w:rsidR="009F263F">
              <w:rPr>
                <w:rFonts w:ascii="Arial" w:hAnsi="Arial" w:cs="Arial"/>
                <w:sz w:val="20"/>
              </w:rPr>
              <w:t xml:space="preserve">ein, </w:t>
            </w:r>
            <w:proofErr w:type="gramStart"/>
            <w:r w:rsidR="009F263F">
              <w:rPr>
                <w:rFonts w:ascii="Arial" w:hAnsi="Arial" w:cs="Arial"/>
                <w:sz w:val="20"/>
              </w:rPr>
              <w:t>Lee</w:t>
            </w:r>
            <w:proofErr w:type="gramEnd"/>
            <w:r w:rsidR="009F263F">
              <w:rPr>
                <w:rFonts w:ascii="Arial" w:hAnsi="Arial" w:cs="Arial"/>
                <w:sz w:val="20"/>
              </w:rPr>
              <w:t xml:space="preserve"> and Thomas G. Walker.</w:t>
            </w:r>
          </w:p>
          <w:p w14:paraId="70D4EA3E" w14:textId="77777777" w:rsidR="000B6CFA" w:rsidRDefault="000B6CFA" w:rsidP="0017759C">
            <w:pPr>
              <w:rPr>
                <w:rFonts w:ascii="Arial" w:hAnsi="Arial" w:cs="Arial"/>
                <w:sz w:val="20"/>
              </w:rPr>
            </w:pPr>
          </w:p>
          <w:p w14:paraId="68C64C4B" w14:textId="77777777" w:rsidR="00632965" w:rsidRDefault="00632965" w:rsidP="0017759C">
            <w:pPr>
              <w:rPr>
                <w:rFonts w:ascii="Arial" w:hAnsi="Arial" w:cs="Arial"/>
                <w:sz w:val="20"/>
              </w:rPr>
            </w:pPr>
            <w:r>
              <w:rPr>
                <w:rFonts w:ascii="Arial" w:hAnsi="Arial" w:cs="Arial"/>
                <w:sz w:val="20"/>
              </w:rPr>
              <w:t>All other necessary materials will be provided by the professor or through access to the university’s resources available freely to students.</w:t>
            </w:r>
          </w:p>
          <w:p w14:paraId="1A69D39B" w14:textId="77777777" w:rsidR="00884395" w:rsidRPr="00D76428" w:rsidRDefault="00884395" w:rsidP="0017759C">
            <w:pPr>
              <w:rPr>
                <w:rFonts w:ascii="Arial" w:hAnsi="Arial" w:cs="Arial"/>
                <w:sz w:val="20"/>
              </w:rPr>
            </w:pPr>
          </w:p>
        </w:tc>
      </w:tr>
      <w:tr w:rsidR="00396748" w:rsidRPr="00C2322F" w14:paraId="28A8E308" w14:textId="77777777" w:rsidTr="00D76428">
        <w:tc>
          <w:tcPr>
            <w:tcW w:w="10340" w:type="dxa"/>
            <w:gridSpan w:val="3"/>
            <w:shd w:val="clear" w:color="auto" w:fill="auto"/>
          </w:tcPr>
          <w:p w14:paraId="1AD2EBB3" w14:textId="77777777" w:rsidR="00396748" w:rsidRPr="00C2322F" w:rsidRDefault="00396748" w:rsidP="006F1AEA">
            <w:pPr>
              <w:rPr>
                <w:rFonts w:ascii="Arial" w:hAnsi="Arial" w:cs="Arial"/>
                <w:sz w:val="20"/>
              </w:rPr>
            </w:pPr>
          </w:p>
        </w:tc>
      </w:tr>
      <w:tr w:rsidR="00884395" w:rsidRPr="00C2322F" w14:paraId="7D0C55C4" w14:textId="77777777" w:rsidTr="00D76428">
        <w:tc>
          <w:tcPr>
            <w:tcW w:w="10340" w:type="dxa"/>
            <w:gridSpan w:val="3"/>
            <w:shd w:val="clear" w:color="auto" w:fill="auto"/>
          </w:tcPr>
          <w:p w14:paraId="721A7BCD" w14:textId="2CBEBFA4" w:rsidR="00884395" w:rsidRPr="00C2322F" w:rsidRDefault="00955F8D" w:rsidP="00884395">
            <w:pPr>
              <w:jc w:val="center"/>
              <w:rPr>
                <w:rFonts w:ascii="Arial" w:hAnsi="Arial" w:cs="Arial"/>
                <w:b/>
                <w:sz w:val="20"/>
              </w:rPr>
            </w:pPr>
            <w:r>
              <w:rPr>
                <w:rFonts w:ascii="Arial" w:hAnsi="Arial" w:cs="Arial"/>
                <w:b/>
                <w:sz w:val="20"/>
              </w:rPr>
              <w:t xml:space="preserve">Class Format and </w:t>
            </w:r>
            <w:r w:rsidR="00884395">
              <w:rPr>
                <w:rFonts w:ascii="Arial" w:hAnsi="Arial" w:cs="Arial"/>
                <w:b/>
                <w:sz w:val="20"/>
              </w:rPr>
              <w:t>Attendance Policy</w:t>
            </w:r>
          </w:p>
        </w:tc>
      </w:tr>
      <w:tr w:rsidR="00884395" w:rsidRPr="00C2322F" w14:paraId="29F7DE53" w14:textId="77777777" w:rsidTr="0014674F">
        <w:tc>
          <w:tcPr>
            <w:tcW w:w="10340" w:type="dxa"/>
            <w:gridSpan w:val="3"/>
            <w:shd w:val="clear" w:color="auto" w:fill="auto"/>
          </w:tcPr>
          <w:p w14:paraId="3FE621CE" w14:textId="32E91CFF" w:rsidR="00E912A6" w:rsidRDefault="00CE6E0D" w:rsidP="00255267">
            <w:pPr>
              <w:tabs>
                <w:tab w:val="center" w:pos="5062"/>
              </w:tabs>
              <w:rPr>
                <w:rFonts w:ascii="Arial" w:hAnsi="Arial" w:cs="Arial"/>
                <w:sz w:val="20"/>
                <w:szCs w:val="20"/>
              </w:rPr>
            </w:pPr>
            <w:r>
              <w:rPr>
                <w:rFonts w:ascii="Arial" w:hAnsi="Arial" w:cs="Arial"/>
                <w:sz w:val="20"/>
                <w:szCs w:val="20"/>
              </w:rPr>
              <w:t>The class will be taught in a</w:t>
            </w:r>
            <w:r w:rsidR="00354604">
              <w:rPr>
                <w:rFonts w:ascii="Arial" w:hAnsi="Arial" w:cs="Arial"/>
                <w:sz w:val="20"/>
                <w:szCs w:val="20"/>
              </w:rPr>
              <w:t xml:space="preserve">n in-person </w:t>
            </w:r>
            <w:r>
              <w:rPr>
                <w:rFonts w:ascii="Arial" w:hAnsi="Arial" w:cs="Arial"/>
                <w:sz w:val="20"/>
                <w:szCs w:val="20"/>
              </w:rPr>
              <w:t>format</w:t>
            </w:r>
            <w:r w:rsidR="00354604">
              <w:rPr>
                <w:rFonts w:ascii="Arial" w:hAnsi="Arial" w:cs="Arial"/>
                <w:sz w:val="20"/>
                <w:szCs w:val="20"/>
              </w:rPr>
              <w:t>, with exceptions occasionally made if the professor is travelling</w:t>
            </w:r>
            <w:r>
              <w:rPr>
                <w:rFonts w:ascii="Arial" w:hAnsi="Arial" w:cs="Arial"/>
                <w:sz w:val="20"/>
                <w:szCs w:val="20"/>
              </w:rPr>
              <w:t xml:space="preserve">. </w:t>
            </w:r>
            <w:r w:rsidR="00884395">
              <w:rPr>
                <w:rFonts w:ascii="Arial" w:hAnsi="Arial" w:cs="Arial"/>
                <w:sz w:val="20"/>
                <w:szCs w:val="20"/>
              </w:rPr>
              <w:t>Attendance will be taken in cla</w:t>
            </w:r>
            <w:r w:rsidR="00255267">
              <w:rPr>
                <w:rFonts w:ascii="Arial" w:hAnsi="Arial" w:cs="Arial"/>
                <w:sz w:val="20"/>
                <w:szCs w:val="20"/>
              </w:rPr>
              <w:t xml:space="preserve">ss for the instructor’s records. </w:t>
            </w:r>
            <w:r w:rsidR="00D46D11">
              <w:rPr>
                <w:rFonts w:ascii="Arial" w:hAnsi="Arial" w:cs="Arial"/>
                <w:sz w:val="20"/>
                <w:szCs w:val="20"/>
              </w:rPr>
              <w:t>A</w:t>
            </w:r>
            <w:r w:rsidR="00907099">
              <w:rPr>
                <w:rFonts w:ascii="Arial" w:hAnsi="Arial" w:cs="Arial"/>
                <w:sz w:val="20"/>
                <w:szCs w:val="20"/>
              </w:rPr>
              <w:t>lthough a</w:t>
            </w:r>
            <w:r w:rsidR="00255267">
              <w:rPr>
                <w:rFonts w:ascii="Arial" w:hAnsi="Arial" w:cs="Arial"/>
                <w:sz w:val="20"/>
                <w:szCs w:val="20"/>
              </w:rPr>
              <w:t>ttendance to any given class is generally discretionary</w:t>
            </w:r>
            <w:r w:rsidR="00907099">
              <w:rPr>
                <w:rFonts w:ascii="Arial" w:hAnsi="Arial" w:cs="Arial"/>
                <w:sz w:val="20"/>
                <w:szCs w:val="20"/>
              </w:rPr>
              <w:t>, it may inform students</w:t>
            </w:r>
            <w:r w:rsidR="00574E8A">
              <w:rPr>
                <w:rFonts w:ascii="Arial" w:hAnsi="Arial" w:cs="Arial"/>
                <w:sz w:val="20"/>
                <w:szCs w:val="20"/>
              </w:rPr>
              <w:t>’</w:t>
            </w:r>
            <w:r w:rsidR="00907099">
              <w:rPr>
                <w:rFonts w:ascii="Arial" w:hAnsi="Arial" w:cs="Arial"/>
                <w:sz w:val="20"/>
                <w:szCs w:val="20"/>
              </w:rPr>
              <w:t xml:space="preserve"> participation grades</w:t>
            </w:r>
            <w:r w:rsidR="00255267">
              <w:rPr>
                <w:rFonts w:ascii="Arial" w:hAnsi="Arial" w:cs="Arial"/>
                <w:sz w:val="20"/>
                <w:szCs w:val="20"/>
              </w:rPr>
              <w:t>.</w:t>
            </w:r>
            <w:r w:rsidR="00E912A6">
              <w:rPr>
                <w:rFonts w:ascii="Arial" w:hAnsi="Arial" w:cs="Arial"/>
                <w:sz w:val="20"/>
                <w:szCs w:val="20"/>
              </w:rPr>
              <w:t xml:space="preserve"> </w:t>
            </w:r>
            <w:r w:rsidR="00D1532C">
              <w:rPr>
                <w:rFonts w:ascii="Arial" w:hAnsi="Arial" w:cs="Arial"/>
                <w:sz w:val="20"/>
                <w:szCs w:val="20"/>
              </w:rPr>
              <w:t xml:space="preserve">Attendance </w:t>
            </w:r>
            <w:proofErr w:type="gramStart"/>
            <w:r w:rsidR="00D1532C">
              <w:rPr>
                <w:rFonts w:ascii="Arial" w:hAnsi="Arial" w:cs="Arial"/>
                <w:sz w:val="20"/>
                <w:szCs w:val="20"/>
              </w:rPr>
              <w:t>to</w:t>
            </w:r>
            <w:proofErr w:type="gramEnd"/>
            <w:r w:rsidR="00D1532C">
              <w:rPr>
                <w:rFonts w:ascii="Arial" w:hAnsi="Arial" w:cs="Arial"/>
                <w:sz w:val="20"/>
                <w:szCs w:val="20"/>
              </w:rPr>
              <w:t xml:space="preserve"> </w:t>
            </w:r>
            <w:r w:rsidR="00255267">
              <w:rPr>
                <w:rFonts w:ascii="Arial" w:hAnsi="Arial" w:cs="Arial"/>
                <w:sz w:val="20"/>
                <w:szCs w:val="20"/>
              </w:rPr>
              <w:t xml:space="preserve">quizzes and </w:t>
            </w:r>
            <w:r w:rsidR="00D1532C">
              <w:rPr>
                <w:rFonts w:ascii="Arial" w:hAnsi="Arial" w:cs="Arial"/>
                <w:sz w:val="20"/>
                <w:szCs w:val="20"/>
              </w:rPr>
              <w:t xml:space="preserve">exams is mandatory. </w:t>
            </w:r>
            <w:r w:rsidR="00255267">
              <w:rPr>
                <w:rFonts w:ascii="Arial" w:hAnsi="Arial" w:cs="Arial"/>
                <w:sz w:val="20"/>
                <w:szCs w:val="20"/>
              </w:rPr>
              <w:t xml:space="preserve">Attendance is also mandatory for a student who will be presenting on a given day. </w:t>
            </w:r>
          </w:p>
          <w:p w14:paraId="2551F9F6" w14:textId="77777777" w:rsidR="00E912A6" w:rsidRDefault="00E912A6" w:rsidP="00255267">
            <w:pPr>
              <w:tabs>
                <w:tab w:val="center" w:pos="5062"/>
              </w:tabs>
              <w:rPr>
                <w:rFonts w:ascii="Arial" w:hAnsi="Arial" w:cs="Arial"/>
                <w:sz w:val="20"/>
                <w:szCs w:val="20"/>
              </w:rPr>
            </w:pPr>
          </w:p>
          <w:p w14:paraId="058DBC3C" w14:textId="77777777" w:rsidR="00130F15" w:rsidRDefault="00E912A6" w:rsidP="00255267">
            <w:pPr>
              <w:tabs>
                <w:tab w:val="center" w:pos="5062"/>
              </w:tabs>
              <w:rPr>
                <w:rFonts w:ascii="Arial" w:hAnsi="Arial" w:cs="Arial"/>
                <w:sz w:val="20"/>
                <w:szCs w:val="20"/>
              </w:rPr>
            </w:pPr>
            <w:r>
              <w:rPr>
                <w:rFonts w:ascii="Arial" w:hAnsi="Arial" w:cs="Arial"/>
                <w:sz w:val="20"/>
                <w:szCs w:val="20"/>
              </w:rPr>
              <w:t>Make-up opportunities will only be provided for students with unforeseen, unavoidable absences.</w:t>
            </w:r>
            <w:r w:rsidR="00D31A6A">
              <w:rPr>
                <w:rFonts w:ascii="Arial" w:hAnsi="Arial" w:cs="Arial"/>
                <w:sz w:val="20"/>
                <w:szCs w:val="20"/>
              </w:rPr>
              <w:t xml:space="preserve"> Foreseen and avoidable absences can schedule earlier testing, if necessary.</w:t>
            </w:r>
            <w:r>
              <w:rPr>
                <w:rFonts w:ascii="Arial" w:hAnsi="Arial" w:cs="Arial"/>
                <w:sz w:val="20"/>
                <w:szCs w:val="20"/>
              </w:rPr>
              <w:t xml:space="preserve"> </w:t>
            </w:r>
            <w:r w:rsidR="00D31A6A">
              <w:rPr>
                <w:rFonts w:ascii="Arial" w:hAnsi="Arial" w:cs="Arial"/>
                <w:sz w:val="20"/>
                <w:szCs w:val="20"/>
              </w:rPr>
              <w:t xml:space="preserve">Unforeseen and unavoidable </w:t>
            </w:r>
            <w:r>
              <w:rPr>
                <w:rFonts w:ascii="Arial" w:hAnsi="Arial" w:cs="Arial"/>
                <w:sz w:val="20"/>
                <w:szCs w:val="20"/>
              </w:rPr>
              <w:t>absences will require documentation for verification.</w:t>
            </w:r>
            <w:r w:rsidR="00354604">
              <w:rPr>
                <w:rFonts w:ascii="Arial" w:hAnsi="Arial" w:cs="Arial"/>
                <w:sz w:val="20"/>
                <w:szCs w:val="20"/>
              </w:rPr>
              <w:t xml:space="preserve"> COVID-19 does not merit any special exceptions to this policy</w:t>
            </w:r>
            <w:r>
              <w:rPr>
                <w:rFonts w:ascii="Arial" w:hAnsi="Arial" w:cs="Arial"/>
                <w:sz w:val="20"/>
                <w:szCs w:val="20"/>
              </w:rPr>
              <w:t>.</w:t>
            </w:r>
          </w:p>
          <w:p w14:paraId="2AD06AAD" w14:textId="77777777" w:rsidR="0068609D" w:rsidRDefault="0068609D" w:rsidP="00255267">
            <w:pPr>
              <w:tabs>
                <w:tab w:val="center" w:pos="5062"/>
              </w:tabs>
              <w:rPr>
                <w:rFonts w:ascii="Arial" w:hAnsi="Arial" w:cs="Arial"/>
                <w:sz w:val="20"/>
                <w:szCs w:val="20"/>
              </w:rPr>
            </w:pPr>
          </w:p>
          <w:p w14:paraId="026A02CB" w14:textId="77777777" w:rsidR="0068609D" w:rsidRDefault="0068609D" w:rsidP="00255267">
            <w:pPr>
              <w:tabs>
                <w:tab w:val="center" w:pos="5062"/>
              </w:tabs>
              <w:rPr>
                <w:rFonts w:ascii="Arial" w:hAnsi="Arial" w:cs="Arial"/>
                <w:sz w:val="20"/>
                <w:szCs w:val="20"/>
              </w:rPr>
            </w:pPr>
            <w:r w:rsidRPr="0068609D">
              <w:rPr>
                <w:rFonts w:ascii="Arial" w:hAnsi="Arial" w:cs="Arial"/>
                <w:sz w:val="20"/>
                <w:szCs w:val="20"/>
              </w:rPr>
              <w:t xml:space="preserve">In the absence of written authorization from the UGA Disability Resource Center, students may not make a visual or audio recording of any aspect of this course. In the </w:t>
            </w:r>
            <w:proofErr w:type="gramStart"/>
            <w:r w:rsidRPr="0068609D">
              <w:rPr>
                <w:rFonts w:ascii="Arial" w:hAnsi="Arial" w:cs="Arial"/>
                <w:sz w:val="20"/>
                <w:szCs w:val="20"/>
              </w:rPr>
              <w:t>event</w:t>
            </w:r>
            <w:proofErr w:type="gramEnd"/>
            <w:r w:rsidRPr="0068609D">
              <w:rPr>
                <w:rFonts w:ascii="Arial" w:hAnsi="Arial" w:cs="Arial"/>
                <w:sz w:val="20"/>
                <w:szCs w:val="20"/>
              </w:rPr>
              <w:t xml:space="preserve"> an authorization, the student and faculty must come to a written agreement that ensures recordings will only be used for personal academic use, not to violate the privacy of those in attendance nor to monetize off the content of the lectures. Violation of these terms may subject them to discipline under the Student Code of Conduct or subject them to liability under copyright laws.</w:t>
            </w:r>
          </w:p>
          <w:p w14:paraId="0520C7A1" w14:textId="77777777" w:rsidR="0068609D" w:rsidRDefault="0068609D" w:rsidP="00255267">
            <w:pPr>
              <w:tabs>
                <w:tab w:val="center" w:pos="5062"/>
              </w:tabs>
              <w:rPr>
                <w:rFonts w:ascii="Arial" w:hAnsi="Arial" w:cs="Arial"/>
                <w:sz w:val="20"/>
                <w:szCs w:val="20"/>
              </w:rPr>
            </w:pPr>
          </w:p>
          <w:p w14:paraId="21EA9723" w14:textId="77777777" w:rsidR="0068609D" w:rsidRDefault="0068609D" w:rsidP="00255267">
            <w:pPr>
              <w:tabs>
                <w:tab w:val="center" w:pos="5062"/>
              </w:tabs>
              <w:rPr>
                <w:rFonts w:ascii="Arial" w:hAnsi="Arial" w:cs="Arial"/>
                <w:sz w:val="20"/>
                <w:szCs w:val="20"/>
              </w:rPr>
            </w:pPr>
          </w:p>
          <w:p w14:paraId="0E6A958C" w14:textId="1C800EC0" w:rsidR="0068609D" w:rsidRPr="00E912A6" w:rsidRDefault="0068609D" w:rsidP="00255267">
            <w:pPr>
              <w:tabs>
                <w:tab w:val="center" w:pos="5062"/>
              </w:tabs>
              <w:rPr>
                <w:rFonts w:ascii="Arial" w:hAnsi="Arial" w:cs="Arial"/>
                <w:sz w:val="20"/>
                <w:szCs w:val="20"/>
              </w:rPr>
            </w:pPr>
          </w:p>
        </w:tc>
      </w:tr>
      <w:tr w:rsidR="00884395" w:rsidRPr="00C2322F" w14:paraId="43A58F88" w14:textId="77777777" w:rsidTr="0014674F">
        <w:tc>
          <w:tcPr>
            <w:tcW w:w="10340" w:type="dxa"/>
            <w:gridSpan w:val="3"/>
            <w:shd w:val="clear" w:color="auto" w:fill="auto"/>
          </w:tcPr>
          <w:p w14:paraId="2518CE0D" w14:textId="77777777" w:rsidR="00884395" w:rsidRPr="00C2322F" w:rsidRDefault="00884395" w:rsidP="0014674F">
            <w:pPr>
              <w:rPr>
                <w:rFonts w:ascii="Arial" w:hAnsi="Arial" w:cs="Arial"/>
                <w:sz w:val="20"/>
              </w:rPr>
            </w:pPr>
          </w:p>
        </w:tc>
      </w:tr>
      <w:tr w:rsidR="00884395" w:rsidRPr="00C2322F" w14:paraId="6B786FB5" w14:textId="77777777" w:rsidTr="0014674F">
        <w:tc>
          <w:tcPr>
            <w:tcW w:w="10340" w:type="dxa"/>
            <w:gridSpan w:val="3"/>
            <w:shd w:val="clear" w:color="auto" w:fill="auto"/>
          </w:tcPr>
          <w:p w14:paraId="5DB9285D" w14:textId="77777777" w:rsidR="004C4D6B" w:rsidRDefault="004C4D6B" w:rsidP="00884395">
            <w:pPr>
              <w:jc w:val="center"/>
              <w:rPr>
                <w:rFonts w:ascii="Arial" w:hAnsi="Arial" w:cs="Arial"/>
                <w:b/>
                <w:sz w:val="20"/>
              </w:rPr>
            </w:pPr>
          </w:p>
          <w:p w14:paraId="418020D5" w14:textId="6813E15A" w:rsidR="00884395" w:rsidRPr="00C2322F" w:rsidRDefault="00AF48E6" w:rsidP="00884395">
            <w:pPr>
              <w:jc w:val="center"/>
              <w:rPr>
                <w:rFonts w:ascii="Arial" w:hAnsi="Arial" w:cs="Arial"/>
                <w:b/>
                <w:sz w:val="20"/>
              </w:rPr>
            </w:pPr>
            <w:r>
              <w:rPr>
                <w:rFonts w:ascii="Arial" w:hAnsi="Arial" w:cs="Arial"/>
                <w:b/>
                <w:sz w:val="20"/>
              </w:rPr>
              <w:lastRenderedPageBreak/>
              <w:t xml:space="preserve">Final </w:t>
            </w:r>
            <w:r w:rsidR="00884395" w:rsidRPr="00C2322F">
              <w:rPr>
                <w:rFonts w:ascii="Arial" w:hAnsi="Arial" w:cs="Arial"/>
                <w:b/>
                <w:sz w:val="20"/>
              </w:rPr>
              <w:t>Grad</w:t>
            </w:r>
            <w:r>
              <w:rPr>
                <w:rFonts w:ascii="Arial" w:hAnsi="Arial" w:cs="Arial"/>
                <w:b/>
                <w:sz w:val="20"/>
              </w:rPr>
              <w:t>e</w:t>
            </w:r>
            <w:r w:rsidR="00884395" w:rsidRPr="00C2322F">
              <w:rPr>
                <w:rFonts w:ascii="Arial" w:hAnsi="Arial" w:cs="Arial"/>
                <w:b/>
                <w:sz w:val="20"/>
              </w:rPr>
              <w:t xml:space="preserve"> </w:t>
            </w:r>
            <w:r>
              <w:rPr>
                <w:rFonts w:ascii="Arial" w:hAnsi="Arial" w:cs="Arial"/>
                <w:b/>
                <w:sz w:val="20"/>
              </w:rPr>
              <w:t>Components</w:t>
            </w:r>
          </w:p>
        </w:tc>
      </w:tr>
      <w:tr w:rsidR="00884395" w:rsidRPr="00C2322F" w14:paraId="056046B0" w14:textId="77777777" w:rsidTr="00D76428">
        <w:trPr>
          <w:trHeight w:val="89"/>
        </w:trPr>
        <w:tc>
          <w:tcPr>
            <w:tcW w:w="10340" w:type="dxa"/>
            <w:gridSpan w:val="3"/>
            <w:shd w:val="clear" w:color="auto" w:fill="auto"/>
          </w:tcPr>
          <w:p w14:paraId="066254EA" w14:textId="77777777" w:rsidR="00884395" w:rsidRPr="00C2322F" w:rsidRDefault="00884395" w:rsidP="00884395">
            <w:pPr>
              <w:rPr>
                <w:rFonts w:ascii="Arial" w:hAnsi="Arial" w:cs="Arial"/>
                <w:sz w:val="10"/>
              </w:rPr>
            </w:pPr>
          </w:p>
        </w:tc>
      </w:tr>
      <w:tr w:rsidR="00884395" w:rsidRPr="00C2322F" w14:paraId="5B98D8A6" w14:textId="77777777" w:rsidTr="00193C9B">
        <w:trPr>
          <w:trHeight w:val="1188"/>
        </w:trPr>
        <w:tc>
          <w:tcPr>
            <w:tcW w:w="10340" w:type="dxa"/>
            <w:gridSpan w:val="3"/>
            <w:shd w:val="clear" w:color="auto" w:fill="auto"/>
          </w:tcPr>
          <w:p w14:paraId="598491D2" w14:textId="4537034C" w:rsidR="00EA6FFA" w:rsidRDefault="00EA6FFA" w:rsidP="00884395">
            <w:pPr>
              <w:tabs>
                <w:tab w:val="center" w:pos="5062"/>
              </w:tabs>
              <w:rPr>
                <w:rFonts w:ascii="Arial" w:hAnsi="Arial" w:cs="Arial"/>
                <w:sz w:val="20"/>
                <w:szCs w:val="20"/>
              </w:rPr>
            </w:pPr>
            <w:r>
              <w:rPr>
                <w:rFonts w:ascii="Arial" w:hAnsi="Arial" w:cs="Arial"/>
                <w:sz w:val="20"/>
                <w:szCs w:val="20"/>
              </w:rPr>
              <w:t>Case Briefs/Presentations</w:t>
            </w:r>
            <w:r>
              <w:rPr>
                <w:rFonts w:ascii="Arial" w:hAnsi="Arial" w:cs="Arial"/>
                <w:sz w:val="20"/>
                <w:szCs w:val="20"/>
              </w:rPr>
              <w:tab/>
            </w:r>
            <w:r w:rsidR="006D7889">
              <w:rPr>
                <w:rFonts w:ascii="Arial" w:hAnsi="Arial" w:cs="Arial"/>
                <w:sz w:val="20"/>
                <w:szCs w:val="20"/>
              </w:rPr>
              <w:t>5</w:t>
            </w:r>
            <w:r>
              <w:rPr>
                <w:rFonts w:ascii="Arial" w:hAnsi="Arial" w:cs="Arial"/>
                <w:sz w:val="20"/>
                <w:szCs w:val="20"/>
              </w:rPr>
              <w:t>0%</w:t>
            </w:r>
          </w:p>
          <w:p w14:paraId="4DDB14DB" w14:textId="77777777" w:rsidR="00EA6FFA" w:rsidRDefault="00EA6FFA" w:rsidP="00884395">
            <w:pPr>
              <w:tabs>
                <w:tab w:val="center" w:pos="5062"/>
              </w:tabs>
              <w:rPr>
                <w:rFonts w:ascii="Arial" w:hAnsi="Arial" w:cs="Arial"/>
                <w:sz w:val="20"/>
                <w:szCs w:val="20"/>
              </w:rPr>
            </w:pPr>
            <w:r>
              <w:rPr>
                <w:rFonts w:ascii="Arial" w:hAnsi="Arial" w:cs="Arial"/>
                <w:sz w:val="20"/>
                <w:szCs w:val="20"/>
              </w:rPr>
              <w:t>Final Exam</w:t>
            </w:r>
            <w:r>
              <w:rPr>
                <w:rFonts w:ascii="Arial" w:hAnsi="Arial" w:cs="Arial"/>
                <w:sz w:val="20"/>
                <w:szCs w:val="20"/>
              </w:rPr>
              <w:tab/>
              <w:t>30%</w:t>
            </w:r>
          </w:p>
          <w:p w14:paraId="77FB01DC" w14:textId="77777777" w:rsidR="00D1532C" w:rsidRDefault="00B9408D" w:rsidP="00884395">
            <w:pPr>
              <w:tabs>
                <w:tab w:val="center" w:pos="5062"/>
              </w:tabs>
              <w:rPr>
                <w:rFonts w:ascii="Arial" w:hAnsi="Arial" w:cs="Arial"/>
                <w:sz w:val="20"/>
                <w:szCs w:val="20"/>
              </w:rPr>
            </w:pPr>
            <w:r>
              <w:rPr>
                <w:rFonts w:ascii="Arial" w:hAnsi="Arial" w:cs="Arial"/>
                <w:sz w:val="20"/>
                <w:szCs w:val="20"/>
              </w:rPr>
              <w:t>Quizzes</w:t>
            </w:r>
            <w:r w:rsidR="00D868C2">
              <w:rPr>
                <w:rFonts w:ascii="Arial" w:hAnsi="Arial" w:cs="Arial"/>
                <w:sz w:val="20"/>
                <w:szCs w:val="20"/>
              </w:rPr>
              <w:tab/>
            </w:r>
            <w:r w:rsidR="005C2A7A">
              <w:rPr>
                <w:rFonts w:ascii="Arial" w:hAnsi="Arial" w:cs="Arial"/>
                <w:sz w:val="20"/>
                <w:szCs w:val="20"/>
              </w:rPr>
              <w:t>15</w:t>
            </w:r>
            <w:r w:rsidR="00884395">
              <w:rPr>
                <w:rFonts w:ascii="Arial" w:hAnsi="Arial" w:cs="Arial"/>
                <w:sz w:val="20"/>
                <w:szCs w:val="20"/>
              </w:rPr>
              <w:t>%</w:t>
            </w:r>
          </w:p>
          <w:p w14:paraId="036BDA0D" w14:textId="014FC363" w:rsidR="005C2A7A" w:rsidRPr="00C2322F" w:rsidRDefault="005C2A7A" w:rsidP="005C2A7A">
            <w:pPr>
              <w:tabs>
                <w:tab w:val="center" w:pos="5062"/>
              </w:tabs>
              <w:rPr>
                <w:rFonts w:ascii="Arial" w:hAnsi="Arial" w:cs="Arial"/>
                <w:sz w:val="20"/>
                <w:szCs w:val="20"/>
              </w:rPr>
            </w:pPr>
            <w:r>
              <w:rPr>
                <w:rFonts w:ascii="Arial" w:hAnsi="Arial" w:cs="Arial"/>
                <w:sz w:val="20"/>
                <w:szCs w:val="20"/>
              </w:rPr>
              <w:t>Participation</w:t>
            </w:r>
            <w:r>
              <w:rPr>
                <w:rFonts w:ascii="Arial" w:hAnsi="Arial" w:cs="Arial"/>
                <w:sz w:val="20"/>
                <w:szCs w:val="20"/>
              </w:rPr>
              <w:tab/>
              <w:t>5%</w:t>
            </w:r>
          </w:p>
        </w:tc>
      </w:tr>
      <w:tr w:rsidR="00884395" w:rsidRPr="00C2322F" w14:paraId="7B276F42" w14:textId="77777777" w:rsidTr="00D76428">
        <w:tc>
          <w:tcPr>
            <w:tcW w:w="10340" w:type="dxa"/>
            <w:gridSpan w:val="3"/>
            <w:shd w:val="clear" w:color="auto" w:fill="auto"/>
          </w:tcPr>
          <w:p w14:paraId="3DB49A60" w14:textId="549325B9" w:rsidR="004A2046" w:rsidRDefault="004A2046"/>
          <w:p w14:paraId="2C1B03AC" w14:textId="77777777" w:rsidR="004A2046" w:rsidRDefault="004A2046"/>
          <w:tbl>
            <w:tblPr>
              <w:tblW w:w="10340" w:type="dxa"/>
              <w:tblLayout w:type="fixed"/>
              <w:tblLook w:val="00A0" w:firstRow="1" w:lastRow="0" w:firstColumn="1" w:lastColumn="0" w:noHBand="0" w:noVBand="0"/>
            </w:tblPr>
            <w:tblGrid>
              <w:gridCol w:w="10340"/>
            </w:tblGrid>
            <w:tr w:rsidR="00AF48E6" w:rsidRPr="00C2322F" w14:paraId="5368F5B6" w14:textId="77777777" w:rsidTr="00C05E47">
              <w:tc>
                <w:tcPr>
                  <w:tcW w:w="10340" w:type="dxa"/>
                  <w:shd w:val="clear" w:color="auto" w:fill="auto"/>
                </w:tcPr>
                <w:p w14:paraId="76E53D2E" w14:textId="77777777" w:rsidR="00AF48E6" w:rsidRPr="00C2322F" w:rsidRDefault="00AF48E6" w:rsidP="00AF48E6">
                  <w:pPr>
                    <w:jc w:val="center"/>
                    <w:rPr>
                      <w:rFonts w:ascii="Arial" w:hAnsi="Arial" w:cs="Arial"/>
                      <w:sz w:val="20"/>
                    </w:rPr>
                  </w:pPr>
                  <w:r w:rsidRPr="00C2322F">
                    <w:rPr>
                      <w:rFonts w:ascii="Arial" w:hAnsi="Arial" w:cs="Arial"/>
                      <w:b/>
                      <w:sz w:val="20"/>
                    </w:rPr>
                    <w:t xml:space="preserve">Grading </w:t>
                  </w:r>
                  <w:r>
                    <w:rPr>
                      <w:rFonts w:ascii="Arial" w:hAnsi="Arial" w:cs="Arial"/>
                      <w:b/>
                      <w:sz w:val="20"/>
                    </w:rPr>
                    <w:t>Scale</w:t>
                  </w:r>
                </w:p>
              </w:tc>
            </w:tr>
            <w:tr w:rsidR="00AF48E6" w:rsidRPr="00632965" w14:paraId="46A445A6" w14:textId="77777777" w:rsidTr="00C05E47">
              <w:tc>
                <w:tcPr>
                  <w:tcW w:w="10340" w:type="dxa"/>
                  <w:shd w:val="clear" w:color="auto" w:fill="auto"/>
                </w:tcPr>
                <w:tbl>
                  <w:tblPr>
                    <w:tblStyle w:val="TableGrid"/>
                    <w:tblW w:w="10114" w:type="dxa"/>
                    <w:tblInd w:w="360" w:type="dxa"/>
                    <w:tblLayout w:type="fixed"/>
                    <w:tblLook w:val="04A0" w:firstRow="1" w:lastRow="0" w:firstColumn="1" w:lastColumn="0" w:noHBand="0" w:noVBand="1"/>
                  </w:tblPr>
                  <w:tblGrid>
                    <w:gridCol w:w="2022"/>
                    <w:gridCol w:w="2023"/>
                    <w:gridCol w:w="2023"/>
                    <w:gridCol w:w="2023"/>
                    <w:gridCol w:w="2023"/>
                  </w:tblGrid>
                  <w:tr w:rsidR="00AF48E6" w14:paraId="1A5FB29E" w14:textId="77777777" w:rsidTr="00C05E47">
                    <w:tc>
                      <w:tcPr>
                        <w:tcW w:w="2022" w:type="dxa"/>
                        <w:tcBorders>
                          <w:top w:val="nil"/>
                          <w:left w:val="nil"/>
                          <w:bottom w:val="nil"/>
                          <w:right w:val="nil"/>
                        </w:tcBorders>
                      </w:tcPr>
                      <w:p w14:paraId="7CA72573" w14:textId="77777777" w:rsidR="00AF48E6" w:rsidRDefault="00AF48E6" w:rsidP="00AF48E6">
                        <w:pPr>
                          <w:jc w:val="both"/>
                          <w:rPr>
                            <w:rFonts w:ascii="Arial" w:hAnsi="Arial" w:cs="Arial"/>
                            <w:sz w:val="20"/>
                            <w:szCs w:val="22"/>
                          </w:rPr>
                        </w:pPr>
                        <w:r>
                          <w:rPr>
                            <w:rFonts w:ascii="Arial" w:hAnsi="Arial" w:cs="Arial"/>
                            <w:sz w:val="20"/>
                            <w:szCs w:val="22"/>
                          </w:rPr>
                          <w:t>A</w:t>
                        </w:r>
                      </w:p>
                    </w:tc>
                    <w:tc>
                      <w:tcPr>
                        <w:tcW w:w="2023" w:type="dxa"/>
                        <w:tcBorders>
                          <w:top w:val="nil"/>
                          <w:left w:val="nil"/>
                          <w:bottom w:val="nil"/>
                          <w:right w:val="nil"/>
                        </w:tcBorders>
                      </w:tcPr>
                      <w:p w14:paraId="3354A0EB" w14:textId="77777777" w:rsidR="00AF48E6" w:rsidRDefault="00AF48E6" w:rsidP="00AF48E6">
                        <w:pPr>
                          <w:jc w:val="both"/>
                          <w:rPr>
                            <w:rFonts w:ascii="Arial" w:hAnsi="Arial" w:cs="Arial"/>
                            <w:sz w:val="20"/>
                            <w:szCs w:val="22"/>
                          </w:rPr>
                        </w:pPr>
                        <w:r>
                          <w:rPr>
                            <w:rFonts w:ascii="Arial" w:hAnsi="Arial" w:cs="Arial"/>
                            <w:sz w:val="20"/>
                            <w:szCs w:val="22"/>
                          </w:rPr>
                          <w:t>93-100</w:t>
                        </w:r>
                      </w:p>
                    </w:tc>
                    <w:tc>
                      <w:tcPr>
                        <w:tcW w:w="2023" w:type="dxa"/>
                        <w:tcBorders>
                          <w:top w:val="nil"/>
                          <w:left w:val="nil"/>
                          <w:bottom w:val="nil"/>
                          <w:right w:val="nil"/>
                        </w:tcBorders>
                      </w:tcPr>
                      <w:p w14:paraId="50AE1FD3" w14:textId="77777777" w:rsidR="00AF48E6" w:rsidRDefault="00AF48E6" w:rsidP="00AF48E6">
                        <w:pPr>
                          <w:jc w:val="both"/>
                          <w:rPr>
                            <w:rFonts w:ascii="Arial" w:hAnsi="Arial" w:cs="Arial"/>
                            <w:sz w:val="20"/>
                            <w:szCs w:val="22"/>
                          </w:rPr>
                        </w:pPr>
                      </w:p>
                    </w:tc>
                    <w:tc>
                      <w:tcPr>
                        <w:tcW w:w="2023" w:type="dxa"/>
                        <w:tcBorders>
                          <w:top w:val="nil"/>
                          <w:left w:val="nil"/>
                          <w:bottom w:val="nil"/>
                          <w:right w:val="nil"/>
                        </w:tcBorders>
                      </w:tcPr>
                      <w:p w14:paraId="4307D44B" w14:textId="77777777" w:rsidR="00AF48E6" w:rsidRDefault="00AF48E6" w:rsidP="00AF48E6">
                        <w:pPr>
                          <w:jc w:val="both"/>
                          <w:rPr>
                            <w:rFonts w:ascii="Arial" w:hAnsi="Arial" w:cs="Arial"/>
                            <w:sz w:val="20"/>
                            <w:szCs w:val="22"/>
                          </w:rPr>
                        </w:pPr>
                        <w:r>
                          <w:rPr>
                            <w:rFonts w:ascii="Arial" w:hAnsi="Arial" w:cs="Arial"/>
                            <w:sz w:val="20"/>
                            <w:szCs w:val="22"/>
                          </w:rPr>
                          <w:t>C+</w:t>
                        </w:r>
                      </w:p>
                    </w:tc>
                    <w:tc>
                      <w:tcPr>
                        <w:tcW w:w="2023" w:type="dxa"/>
                        <w:tcBorders>
                          <w:top w:val="nil"/>
                          <w:left w:val="nil"/>
                          <w:bottom w:val="nil"/>
                        </w:tcBorders>
                      </w:tcPr>
                      <w:p w14:paraId="1E6817A4" w14:textId="77777777" w:rsidR="00AF48E6" w:rsidRDefault="00AF48E6" w:rsidP="00AF48E6">
                        <w:pPr>
                          <w:jc w:val="both"/>
                          <w:rPr>
                            <w:rFonts w:ascii="Arial" w:hAnsi="Arial" w:cs="Arial"/>
                            <w:sz w:val="20"/>
                            <w:szCs w:val="22"/>
                          </w:rPr>
                        </w:pPr>
                        <w:r>
                          <w:rPr>
                            <w:rFonts w:ascii="Arial" w:hAnsi="Arial" w:cs="Arial"/>
                            <w:sz w:val="20"/>
                            <w:szCs w:val="22"/>
                          </w:rPr>
                          <w:t>77-80</w:t>
                        </w:r>
                      </w:p>
                    </w:tc>
                  </w:tr>
                  <w:tr w:rsidR="00AF48E6" w14:paraId="0D051DD3" w14:textId="77777777" w:rsidTr="00C05E47">
                    <w:tc>
                      <w:tcPr>
                        <w:tcW w:w="2022" w:type="dxa"/>
                        <w:tcBorders>
                          <w:top w:val="nil"/>
                          <w:left w:val="nil"/>
                          <w:bottom w:val="nil"/>
                          <w:right w:val="nil"/>
                        </w:tcBorders>
                      </w:tcPr>
                      <w:p w14:paraId="6454082D" w14:textId="77777777" w:rsidR="00AF48E6" w:rsidRDefault="00AF48E6" w:rsidP="00AF48E6">
                        <w:pPr>
                          <w:jc w:val="both"/>
                          <w:rPr>
                            <w:rFonts w:ascii="Arial" w:hAnsi="Arial" w:cs="Arial"/>
                            <w:sz w:val="20"/>
                            <w:szCs w:val="22"/>
                          </w:rPr>
                        </w:pPr>
                        <w:r>
                          <w:rPr>
                            <w:rFonts w:ascii="Arial" w:hAnsi="Arial" w:cs="Arial"/>
                            <w:sz w:val="20"/>
                            <w:szCs w:val="22"/>
                          </w:rPr>
                          <w:t>A-</w:t>
                        </w:r>
                      </w:p>
                    </w:tc>
                    <w:tc>
                      <w:tcPr>
                        <w:tcW w:w="2023" w:type="dxa"/>
                        <w:tcBorders>
                          <w:top w:val="nil"/>
                          <w:left w:val="nil"/>
                          <w:bottom w:val="nil"/>
                          <w:right w:val="nil"/>
                        </w:tcBorders>
                      </w:tcPr>
                      <w:p w14:paraId="06CA89B5" w14:textId="27853A66" w:rsidR="00AF48E6" w:rsidRDefault="00AF48E6" w:rsidP="00AF48E6">
                        <w:pPr>
                          <w:jc w:val="both"/>
                          <w:rPr>
                            <w:rFonts w:ascii="Arial" w:hAnsi="Arial" w:cs="Arial"/>
                            <w:sz w:val="20"/>
                            <w:szCs w:val="22"/>
                          </w:rPr>
                        </w:pPr>
                        <w:r>
                          <w:rPr>
                            <w:rFonts w:ascii="Arial" w:hAnsi="Arial" w:cs="Arial"/>
                            <w:sz w:val="20"/>
                            <w:szCs w:val="22"/>
                          </w:rPr>
                          <w:t>90-9</w:t>
                        </w:r>
                        <w:r w:rsidR="00DF216A">
                          <w:rPr>
                            <w:rFonts w:ascii="Arial" w:hAnsi="Arial" w:cs="Arial"/>
                            <w:sz w:val="20"/>
                            <w:szCs w:val="22"/>
                          </w:rPr>
                          <w:t>3</w:t>
                        </w:r>
                      </w:p>
                    </w:tc>
                    <w:tc>
                      <w:tcPr>
                        <w:tcW w:w="2023" w:type="dxa"/>
                        <w:tcBorders>
                          <w:top w:val="nil"/>
                          <w:left w:val="nil"/>
                          <w:bottom w:val="nil"/>
                          <w:right w:val="nil"/>
                        </w:tcBorders>
                      </w:tcPr>
                      <w:p w14:paraId="231192B0" w14:textId="77777777" w:rsidR="00AF48E6" w:rsidRDefault="00AF48E6" w:rsidP="00AF48E6">
                        <w:pPr>
                          <w:jc w:val="both"/>
                          <w:rPr>
                            <w:rFonts w:ascii="Arial" w:hAnsi="Arial" w:cs="Arial"/>
                            <w:sz w:val="20"/>
                            <w:szCs w:val="22"/>
                          </w:rPr>
                        </w:pPr>
                      </w:p>
                    </w:tc>
                    <w:tc>
                      <w:tcPr>
                        <w:tcW w:w="2023" w:type="dxa"/>
                        <w:tcBorders>
                          <w:top w:val="nil"/>
                          <w:left w:val="nil"/>
                          <w:bottom w:val="nil"/>
                          <w:right w:val="nil"/>
                        </w:tcBorders>
                      </w:tcPr>
                      <w:p w14:paraId="74352AAC" w14:textId="77777777" w:rsidR="00AF48E6" w:rsidRDefault="00AF48E6" w:rsidP="00AF48E6">
                        <w:pPr>
                          <w:jc w:val="both"/>
                          <w:rPr>
                            <w:rFonts w:ascii="Arial" w:hAnsi="Arial" w:cs="Arial"/>
                            <w:sz w:val="20"/>
                            <w:szCs w:val="22"/>
                          </w:rPr>
                        </w:pPr>
                        <w:r>
                          <w:rPr>
                            <w:rFonts w:ascii="Arial" w:hAnsi="Arial" w:cs="Arial"/>
                            <w:sz w:val="20"/>
                            <w:szCs w:val="22"/>
                          </w:rPr>
                          <w:t>C</w:t>
                        </w:r>
                      </w:p>
                    </w:tc>
                    <w:tc>
                      <w:tcPr>
                        <w:tcW w:w="2023" w:type="dxa"/>
                        <w:tcBorders>
                          <w:top w:val="nil"/>
                          <w:left w:val="nil"/>
                          <w:bottom w:val="nil"/>
                        </w:tcBorders>
                      </w:tcPr>
                      <w:p w14:paraId="36B3064A" w14:textId="77777777" w:rsidR="00AF48E6" w:rsidRDefault="00AF48E6" w:rsidP="00AF48E6">
                        <w:pPr>
                          <w:jc w:val="both"/>
                          <w:rPr>
                            <w:rFonts w:ascii="Arial" w:hAnsi="Arial" w:cs="Arial"/>
                            <w:sz w:val="20"/>
                            <w:szCs w:val="22"/>
                          </w:rPr>
                        </w:pPr>
                        <w:r>
                          <w:rPr>
                            <w:rFonts w:ascii="Arial" w:hAnsi="Arial" w:cs="Arial"/>
                            <w:sz w:val="20"/>
                            <w:szCs w:val="22"/>
                          </w:rPr>
                          <w:t>73-77</w:t>
                        </w:r>
                      </w:p>
                    </w:tc>
                  </w:tr>
                  <w:tr w:rsidR="00AF48E6" w14:paraId="37703654" w14:textId="77777777" w:rsidTr="00C05E47">
                    <w:tc>
                      <w:tcPr>
                        <w:tcW w:w="2022" w:type="dxa"/>
                        <w:tcBorders>
                          <w:top w:val="nil"/>
                          <w:left w:val="nil"/>
                          <w:bottom w:val="nil"/>
                          <w:right w:val="nil"/>
                        </w:tcBorders>
                      </w:tcPr>
                      <w:p w14:paraId="1855F26F" w14:textId="77777777" w:rsidR="00AF48E6" w:rsidRDefault="00AF48E6" w:rsidP="00AF48E6">
                        <w:pPr>
                          <w:jc w:val="both"/>
                          <w:rPr>
                            <w:rFonts w:ascii="Arial" w:hAnsi="Arial" w:cs="Arial"/>
                            <w:sz w:val="20"/>
                            <w:szCs w:val="22"/>
                          </w:rPr>
                        </w:pPr>
                        <w:r>
                          <w:rPr>
                            <w:rFonts w:ascii="Arial" w:hAnsi="Arial" w:cs="Arial"/>
                            <w:sz w:val="20"/>
                            <w:szCs w:val="22"/>
                          </w:rPr>
                          <w:t>B+</w:t>
                        </w:r>
                      </w:p>
                    </w:tc>
                    <w:tc>
                      <w:tcPr>
                        <w:tcW w:w="2023" w:type="dxa"/>
                        <w:tcBorders>
                          <w:top w:val="nil"/>
                          <w:left w:val="nil"/>
                          <w:bottom w:val="nil"/>
                          <w:right w:val="nil"/>
                        </w:tcBorders>
                      </w:tcPr>
                      <w:p w14:paraId="34424A71" w14:textId="77777777" w:rsidR="00AF48E6" w:rsidRDefault="00AF48E6" w:rsidP="00AF48E6">
                        <w:pPr>
                          <w:jc w:val="both"/>
                          <w:rPr>
                            <w:rFonts w:ascii="Arial" w:hAnsi="Arial" w:cs="Arial"/>
                            <w:sz w:val="20"/>
                            <w:szCs w:val="22"/>
                          </w:rPr>
                        </w:pPr>
                        <w:r>
                          <w:rPr>
                            <w:rFonts w:ascii="Arial" w:hAnsi="Arial" w:cs="Arial"/>
                            <w:sz w:val="20"/>
                            <w:szCs w:val="22"/>
                          </w:rPr>
                          <w:t>87-90</w:t>
                        </w:r>
                      </w:p>
                    </w:tc>
                    <w:tc>
                      <w:tcPr>
                        <w:tcW w:w="2023" w:type="dxa"/>
                        <w:tcBorders>
                          <w:top w:val="nil"/>
                          <w:left w:val="nil"/>
                          <w:bottom w:val="nil"/>
                          <w:right w:val="nil"/>
                        </w:tcBorders>
                      </w:tcPr>
                      <w:p w14:paraId="6E2E9AC7" w14:textId="77777777" w:rsidR="00AF48E6" w:rsidRDefault="00AF48E6" w:rsidP="00AF48E6">
                        <w:pPr>
                          <w:jc w:val="both"/>
                          <w:rPr>
                            <w:rFonts w:ascii="Arial" w:hAnsi="Arial" w:cs="Arial"/>
                            <w:sz w:val="20"/>
                            <w:szCs w:val="22"/>
                          </w:rPr>
                        </w:pPr>
                      </w:p>
                    </w:tc>
                    <w:tc>
                      <w:tcPr>
                        <w:tcW w:w="2023" w:type="dxa"/>
                        <w:tcBorders>
                          <w:top w:val="nil"/>
                          <w:left w:val="nil"/>
                          <w:bottom w:val="nil"/>
                          <w:right w:val="nil"/>
                        </w:tcBorders>
                      </w:tcPr>
                      <w:p w14:paraId="0CF4BA4F" w14:textId="77777777" w:rsidR="00AF48E6" w:rsidRDefault="00AF48E6" w:rsidP="00AF48E6">
                        <w:pPr>
                          <w:jc w:val="both"/>
                          <w:rPr>
                            <w:rFonts w:ascii="Arial" w:hAnsi="Arial" w:cs="Arial"/>
                            <w:sz w:val="20"/>
                            <w:szCs w:val="22"/>
                          </w:rPr>
                        </w:pPr>
                        <w:r>
                          <w:rPr>
                            <w:rFonts w:ascii="Arial" w:hAnsi="Arial" w:cs="Arial"/>
                            <w:sz w:val="20"/>
                            <w:szCs w:val="22"/>
                          </w:rPr>
                          <w:t>C-</w:t>
                        </w:r>
                      </w:p>
                    </w:tc>
                    <w:tc>
                      <w:tcPr>
                        <w:tcW w:w="2023" w:type="dxa"/>
                        <w:tcBorders>
                          <w:top w:val="nil"/>
                          <w:left w:val="nil"/>
                          <w:bottom w:val="nil"/>
                        </w:tcBorders>
                      </w:tcPr>
                      <w:p w14:paraId="239C1F79" w14:textId="77777777" w:rsidR="00AF48E6" w:rsidRDefault="00AF48E6" w:rsidP="00AF48E6">
                        <w:pPr>
                          <w:jc w:val="both"/>
                          <w:rPr>
                            <w:rFonts w:ascii="Arial" w:hAnsi="Arial" w:cs="Arial"/>
                            <w:sz w:val="20"/>
                            <w:szCs w:val="22"/>
                          </w:rPr>
                        </w:pPr>
                        <w:r>
                          <w:rPr>
                            <w:rFonts w:ascii="Arial" w:hAnsi="Arial" w:cs="Arial"/>
                            <w:sz w:val="20"/>
                            <w:szCs w:val="22"/>
                          </w:rPr>
                          <w:t>70-73</w:t>
                        </w:r>
                      </w:p>
                    </w:tc>
                  </w:tr>
                  <w:tr w:rsidR="00AF48E6" w14:paraId="24A7D888" w14:textId="77777777" w:rsidTr="00C05E47">
                    <w:tc>
                      <w:tcPr>
                        <w:tcW w:w="2022" w:type="dxa"/>
                        <w:tcBorders>
                          <w:top w:val="nil"/>
                          <w:left w:val="nil"/>
                          <w:bottom w:val="nil"/>
                          <w:right w:val="nil"/>
                        </w:tcBorders>
                      </w:tcPr>
                      <w:p w14:paraId="66E11865" w14:textId="77777777" w:rsidR="00AF48E6" w:rsidRDefault="00AF48E6" w:rsidP="00AF48E6">
                        <w:pPr>
                          <w:jc w:val="both"/>
                          <w:rPr>
                            <w:rFonts w:ascii="Arial" w:hAnsi="Arial" w:cs="Arial"/>
                            <w:sz w:val="20"/>
                            <w:szCs w:val="22"/>
                          </w:rPr>
                        </w:pPr>
                        <w:r>
                          <w:rPr>
                            <w:rFonts w:ascii="Arial" w:hAnsi="Arial" w:cs="Arial"/>
                            <w:sz w:val="20"/>
                            <w:szCs w:val="22"/>
                          </w:rPr>
                          <w:t>B</w:t>
                        </w:r>
                      </w:p>
                    </w:tc>
                    <w:tc>
                      <w:tcPr>
                        <w:tcW w:w="2023" w:type="dxa"/>
                        <w:tcBorders>
                          <w:top w:val="nil"/>
                          <w:left w:val="nil"/>
                          <w:bottom w:val="nil"/>
                          <w:right w:val="nil"/>
                        </w:tcBorders>
                      </w:tcPr>
                      <w:p w14:paraId="6471B966" w14:textId="77777777" w:rsidR="00AF48E6" w:rsidRDefault="00AF48E6" w:rsidP="00AF48E6">
                        <w:pPr>
                          <w:jc w:val="both"/>
                          <w:rPr>
                            <w:rFonts w:ascii="Arial" w:hAnsi="Arial" w:cs="Arial"/>
                            <w:sz w:val="20"/>
                            <w:szCs w:val="22"/>
                          </w:rPr>
                        </w:pPr>
                        <w:r>
                          <w:rPr>
                            <w:rFonts w:ascii="Arial" w:hAnsi="Arial" w:cs="Arial"/>
                            <w:sz w:val="20"/>
                            <w:szCs w:val="22"/>
                          </w:rPr>
                          <w:t>83-87</w:t>
                        </w:r>
                      </w:p>
                    </w:tc>
                    <w:tc>
                      <w:tcPr>
                        <w:tcW w:w="2023" w:type="dxa"/>
                        <w:tcBorders>
                          <w:top w:val="nil"/>
                          <w:left w:val="nil"/>
                          <w:bottom w:val="nil"/>
                          <w:right w:val="nil"/>
                        </w:tcBorders>
                      </w:tcPr>
                      <w:p w14:paraId="79E26EAB" w14:textId="77777777" w:rsidR="00AF48E6" w:rsidRDefault="00AF48E6" w:rsidP="00AF48E6">
                        <w:pPr>
                          <w:jc w:val="both"/>
                          <w:rPr>
                            <w:rFonts w:ascii="Arial" w:hAnsi="Arial" w:cs="Arial"/>
                            <w:sz w:val="20"/>
                            <w:szCs w:val="22"/>
                          </w:rPr>
                        </w:pPr>
                      </w:p>
                    </w:tc>
                    <w:tc>
                      <w:tcPr>
                        <w:tcW w:w="2023" w:type="dxa"/>
                        <w:tcBorders>
                          <w:top w:val="nil"/>
                          <w:left w:val="nil"/>
                          <w:bottom w:val="nil"/>
                          <w:right w:val="nil"/>
                        </w:tcBorders>
                      </w:tcPr>
                      <w:p w14:paraId="7EBC968B" w14:textId="77777777" w:rsidR="00AF48E6" w:rsidRDefault="00AF48E6" w:rsidP="00AF48E6">
                        <w:pPr>
                          <w:jc w:val="both"/>
                          <w:rPr>
                            <w:rFonts w:ascii="Arial" w:hAnsi="Arial" w:cs="Arial"/>
                            <w:sz w:val="20"/>
                            <w:szCs w:val="22"/>
                          </w:rPr>
                        </w:pPr>
                        <w:r>
                          <w:rPr>
                            <w:rFonts w:ascii="Arial" w:hAnsi="Arial" w:cs="Arial"/>
                            <w:sz w:val="20"/>
                            <w:szCs w:val="22"/>
                          </w:rPr>
                          <w:t>D</w:t>
                        </w:r>
                      </w:p>
                    </w:tc>
                    <w:tc>
                      <w:tcPr>
                        <w:tcW w:w="2023" w:type="dxa"/>
                        <w:tcBorders>
                          <w:top w:val="nil"/>
                          <w:left w:val="nil"/>
                          <w:bottom w:val="nil"/>
                        </w:tcBorders>
                      </w:tcPr>
                      <w:p w14:paraId="23E85F97" w14:textId="77777777" w:rsidR="00AF48E6" w:rsidRDefault="00AF48E6" w:rsidP="00AF48E6">
                        <w:pPr>
                          <w:jc w:val="both"/>
                          <w:rPr>
                            <w:rFonts w:ascii="Arial" w:hAnsi="Arial" w:cs="Arial"/>
                            <w:sz w:val="20"/>
                            <w:szCs w:val="22"/>
                          </w:rPr>
                        </w:pPr>
                        <w:r w:rsidRPr="00632965">
                          <w:rPr>
                            <w:rFonts w:ascii="Arial" w:hAnsi="Arial" w:cs="Arial"/>
                            <w:sz w:val="20"/>
                            <w:szCs w:val="22"/>
                          </w:rPr>
                          <w:t>60-</w:t>
                        </w:r>
                        <w:r>
                          <w:rPr>
                            <w:rFonts w:ascii="Arial" w:hAnsi="Arial" w:cs="Arial"/>
                            <w:sz w:val="20"/>
                            <w:szCs w:val="22"/>
                          </w:rPr>
                          <w:t>70</w:t>
                        </w:r>
                      </w:p>
                    </w:tc>
                  </w:tr>
                  <w:tr w:rsidR="00AF48E6" w14:paraId="6BA12204" w14:textId="77777777" w:rsidTr="00C05E47">
                    <w:tc>
                      <w:tcPr>
                        <w:tcW w:w="2022" w:type="dxa"/>
                        <w:tcBorders>
                          <w:top w:val="nil"/>
                          <w:left w:val="nil"/>
                          <w:bottom w:val="nil"/>
                          <w:right w:val="nil"/>
                        </w:tcBorders>
                      </w:tcPr>
                      <w:p w14:paraId="562AA77B" w14:textId="77777777" w:rsidR="00AF48E6" w:rsidRDefault="00AF48E6" w:rsidP="00AF48E6">
                        <w:pPr>
                          <w:jc w:val="both"/>
                          <w:rPr>
                            <w:rFonts w:ascii="Arial" w:hAnsi="Arial" w:cs="Arial"/>
                            <w:sz w:val="20"/>
                            <w:szCs w:val="22"/>
                          </w:rPr>
                        </w:pPr>
                        <w:r>
                          <w:rPr>
                            <w:rFonts w:ascii="Arial" w:hAnsi="Arial" w:cs="Arial"/>
                            <w:sz w:val="20"/>
                            <w:szCs w:val="22"/>
                          </w:rPr>
                          <w:t>B-</w:t>
                        </w:r>
                      </w:p>
                    </w:tc>
                    <w:tc>
                      <w:tcPr>
                        <w:tcW w:w="2023" w:type="dxa"/>
                        <w:tcBorders>
                          <w:top w:val="nil"/>
                          <w:left w:val="nil"/>
                          <w:bottom w:val="nil"/>
                          <w:right w:val="nil"/>
                        </w:tcBorders>
                      </w:tcPr>
                      <w:p w14:paraId="3D67FDDD" w14:textId="77777777" w:rsidR="00AF48E6" w:rsidRDefault="00AF48E6" w:rsidP="00AF48E6">
                        <w:pPr>
                          <w:jc w:val="both"/>
                          <w:rPr>
                            <w:rFonts w:ascii="Arial" w:hAnsi="Arial" w:cs="Arial"/>
                            <w:sz w:val="20"/>
                            <w:szCs w:val="22"/>
                          </w:rPr>
                        </w:pPr>
                        <w:r>
                          <w:rPr>
                            <w:rFonts w:ascii="Arial" w:hAnsi="Arial" w:cs="Arial"/>
                            <w:sz w:val="20"/>
                            <w:szCs w:val="22"/>
                          </w:rPr>
                          <w:t>80-83</w:t>
                        </w:r>
                      </w:p>
                    </w:tc>
                    <w:tc>
                      <w:tcPr>
                        <w:tcW w:w="2023" w:type="dxa"/>
                        <w:tcBorders>
                          <w:top w:val="nil"/>
                          <w:left w:val="nil"/>
                          <w:bottom w:val="nil"/>
                          <w:right w:val="nil"/>
                        </w:tcBorders>
                      </w:tcPr>
                      <w:p w14:paraId="5982DB81" w14:textId="77777777" w:rsidR="00AF48E6" w:rsidRDefault="00AF48E6" w:rsidP="00AF48E6">
                        <w:pPr>
                          <w:jc w:val="both"/>
                          <w:rPr>
                            <w:rFonts w:ascii="Arial" w:hAnsi="Arial" w:cs="Arial"/>
                            <w:sz w:val="20"/>
                            <w:szCs w:val="22"/>
                          </w:rPr>
                        </w:pPr>
                      </w:p>
                    </w:tc>
                    <w:tc>
                      <w:tcPr>
                        <w:tcW w:w="2023" w:type="dxa"/>
                        <w:tcBorders>
                          <w:top w:val="nil"/>
                          <w:left w:val="nil"/>
                          <w:bottom w:val="nil"/>
                          <w:right w:val="nil"/>
                        </w:tcBorders>
                      </w:tcPr>
                      <w:p w14:paraId="0C2BC400" w14:textId="77777777" w:rsidR="00AF48E6" w:rsidRDefault="00AF48E6" w:rsidP="00AF48E6">
                        <w:pPr>
                          <w:jc w:val="both"/>
                          <w:rPr>
                            <w:rFonts w:ascii="Arial" w:hAnsi="Arial" w:cs="Arial"/>
                            <w:sz w:val="20"/>
                            <w:szCs w:val="22"/>
                          </w:rPr>
                        </w:pPr>
                        <w:r>
                          <w:rPr>
                            <w:rFonts w:ascii="Arial" w:hAnsi="Arial" w:cs="Arial"/>
                            <w:sz w:val="20"/>
                            <w:szCs w:val="22"/>
                          </w:rPr>
                          <w:t>F</w:t>
                        </w:r>
                      </w:p>
                    </w:tc>
                    <w:tc>
                      <w:tcPr>
                        <w:tcW w:w="2023" w:type="dxa"/>
                        <w:tcBorders>
                          <w:top w:val="nil"/>
                          <w:left w:val="nil"/>
                          <w:bottom w:val="nil"/>
                        </w:tcBorders>
                      </w:tcPr>
                      <w:p w14:paraId="060AE934" w14:textId="77777777" w:rsidR="00AF48E6" w:rsidRDefault="00AF48E6" w:rsidP="00AF48E6">
                        <w:pPr>
                          <w:jc w:val="both"/>
                          <w:rPr>
                            <w:rFonts w:ascii="Arial" w:hAnsi="Arial" w:cs="Arial"/>
                            <w:sz w:val="20"/>
                            <w:szCs w:val="22"/>
                          </w:rPr>
                        </w:pPr>
                        <w:r w:rsidRPr="00632965">
                          <w:rPr>
                            <w:rFonts w:ascii="Arial" w:hAnsi="Arial" w:cs="Arial"/>
                            <w:sz w:val="20"/>
                            <w:szCs w:val="22"/>
                          </w:rPr>
                          <w:t>&lt;60</w:t>
                        </w:r>
                      </w:p>
                    </w:tc>
                  </w:tr>
                </w:tbl>
                <w:p w14:paraId="1FA2E127" w14:textId="77777777" w:rsidR="00AF48E6" w:rsidRPr="00632965" w:rsidRDefault="00AF48E6" w:rsidP="00AF48E6">
                  <w:pPr>
                    <w:jc w:val="both"/>
                    <w:rPr>
                      <w:rFonts w:ascii="Garamond" w:hAnsi="Garamond"/>
                      <w:sz w:val="22"/>
                      <w:szCs w:val="22"/>
                    </w:rPr>
                  </w:pPr>
                </w:p>
              </w:tc>
            </w:tr>
          </w:tbl>
          <w:p w14:paraId="11BC2D6D" w14:textId="77777777" w:rsidR="00884395" w:rsidRPr="00C2322F" w:rsidRDefault="00884395" w:rsidP="00884395">
            <w:pPr>
              <w:rPr>
                <w:rFonts w:ascii="Arial" w:hAnsi="Arial" w:cs="Arial"/>
                <w:sz w:val="20"/>
              </w:rPr>
            </w:pPr>
          </w:p>
        </w:tc>
      </w:tr>
      <w:tr w:rsidR="00AF48E6" w:rsidRPr="00C2322F" w14:paraId="7B271938" w14:textId="77777777" w:rsidTr="00D76428">
        <w:tc>
          <w:tcPr>
            <w:tcW w:w="10340" w:type="dxa"/>
            <w:gridSpan w:val="3"/>
            <w:shd w:val="clear" w:color="auto" w:fill="auto"/>
          </w:tcPr>
          <w:p w14:paraId="36191428" w14:textId="77777777" w:rsidR="00AF48E6" w:rsidRDefault="00AF48E6" w:rsidP="00B9408D">
            <w:pPr>
              <w:rPr>
                <w:rFonts w:ascii="Arial" w:hAnsi="Arial" w:cs="Arial"/>
                <w:sz w:val="20"/>
              </w:rPr>
            </w:pPr>
          </w:p>
        </w:tc>
      </w:tr>
      <w:tr w:rsidR="00884395" w:rsidRPr="00C2322F" w14:paraId="73C813B0" w14:textId="77777777" w:rsidTr="00D76428">
        <w:tc>
          <w:tcPr>
            <w:tcW w:w="10340" w:type="dxa"/>
            <w:gridSpan w:val="3"/>
            <w:shd w:val="clear" w:color="auto" w:fill="auto"/>
          </w:tcPr>
          <w:p w14:paraId="478DDBCC" w14:textId="77777777" w:rsidR="00AF48E6" w:rsidRDefault="00AF48E6" w:rsidP="00B9408D">
            <w:pPr>
              <w:rPr>
                <w:rFonts w:ascii="Arial" w:hAnsi="Arial" w:cs="Arial"/>
                <w:sz w:val="20"/>
              </w:rPr>
            </w:pPr>
          </w:p>
          <w:p w14:paraId="76BE61B2" w14:textId="51CDE08B" w:rsidR="000463E9" w:rsidRDefault="000463E9" w:rsidP="00B9408D">
            <w:pPr>
              <w:rPr>
                <w:rFonts w:ascii="Arial" w:hAnsi="Arial" w:cs="Arial"/>
                <w:sz w:val="20"/>
              </w:rPr>
            </w:pPr>
            <w:r>
              <w:rPr>
                <w:rFonts w:ascii="Arial" w:hAnsi="Arial" w:cs="Arial"/>
                <w:sz w:val="20"/>
              </w:rPr>
              <w:t>Assignments will receive due dates.</w:t>
            </w:r>
            <w:r w:rsidR="00EB3D57">
              <w:rPr>
                <w:rFonts w:ascii="Arial" w:hAnsi="Arial" w:cs="Arial"/>
                <w:sz w:val="20"/>
              </w:rPr>
              <w:t xml:space="preserve"> Unless otherwise specified in writing, all assignments that are due on scheduled class day will be due before class. </w:t>
            </w:r>
            <w:r>
              <w:rPr>
                <w:rFonts w:ascii="Arial" w:hAnsi="Arial" w:cs="Arial"/>
                <w:sz w:val="20"/>
              </w:rPr>
              <w:t xml:space="preserve">These due dates are mandatory. </w:t>
            </w:r>
            <w:r w:rsidR="00EB3D57">
              <w:rPr>
                <w:rFonts w:ascii="Arial" w:hAnsi="Arial" w:cs="Arial"/>
                <w:sz w:val="20"/>
              </w:rPr>
              <w:t xml:space="preserve">Written assignments turned in after class but on the due date will be subject to a 10% grade reduction. </w:t>
            </w:r>
            <w:r>
              <w:rPr>
                <w:rFonts w:ascii="Arial" w:hAnsi="Arial" w:cs="Arial"/>
                <w:sz w:val="20"/>
              </w:rPr>
              <w:t>Late written assignments</w:t>
            </w:r>
            <w:r w:rsidR="00EB3D57">
              <w:rPr>
                <w:rFonts w:ascii="Arial" w:hAnsi="Arial" w:cs="Arial"/>
                <w:sz w:val="20"/>
              </w:rPr>
              <w:t xml:space="preserve"> after the due date</w:t>
            </w:r>
            <w:r>
              <w:rPr>
                <w:rFonts w:ascii="Arial" w:hAnsi="Arial" w:cs="Arial"/>
                <w:sz w:val="20"/>
              </w:rPr>
              <w:t xml:space="preserve"> will be accepted with a</w:t>
            </w:r>
            <w:r w:rsidR="00EB614B">
              <w:rPr>
                <w:rFonts w:ascii="Arial" w:hAnsi="Arial" w:cs="Arial"/>
                <w:sz w:val="20"/>
              </w:rPr>
              <w:t>n additional</w:t>
            </w:r>
            <w:r>
              <w:rPr>
                <w:rFonts w:ascii="Arial" w:hAnsi="Arial" w:cs="Arial"/>
                <w:sz w:val="20"/>
              </w:rPr>
              <w:t xml:space="preserve"> </w:t>
            </w:r>
            <w:r w:rsidR="00EB614B">
              <w:rPr>
                <w:rFonts w:ascii="Arial" w:hAnsi="Arial" w:cs="Arial"/>
                <w:sz w:val="20"/>
              </w:rPr>
              <w:t>1</w:t>
            </w:r>
            <w:r>
              <w:rPr>
                <w:rFonts w:ascii="Arial" w:hAnsi="Arial" w:cs="Arial"/>
                <w:sz w:val="20"/>
              </w:rPr>
              <w:t xml:space="preserve">5% </w:t>
            </w:r>
            <w:r w:rsidR="00EB3D57">
              <w:rPr>
                <w:rFonts w:ascii="Arial" w:hAnsi="Arial" w:cs="Arial"/>
                <w:sz w:val="20"/>
              </w:rPr>
              <w:t>grade reduction</w:t>
            </w:r>
            <w:r>
              <w:rPr>
                <w:rFonts w:ascii="Arial" w:hAnsi="Arial" w:cs="Arial"/>
                <w:sz w:val="20"/>
              </w:rPr>
              <w:t xml:space="preserve"> for each day it is late. Oral assignments will not be accepted late; late assignments will be given a zero. </w:t>
            </w:r>
            <w:r w:rsidRPr="00130F15">
              <w:rPr>
                <w:rFonts w:ascii="Arial" w:hAnsi="Arial" w:cs="Arial"/>
                <w:sz w:val="20"/>
              </w:rPr>
              <w:t xml:space="preserve">Students with </w:t>
            </w:r>
            <w:r w:rsidR="00E912A6">
              <w:rPr>
                <w:rFonts w:ascii="Arial" w:hAnsi="Arial" w:cs="Arial"/>
                <w:sz w:val="20"/>
              </w:rPr>
              <w:t xml:space="preserve">foreseen but unavoidable </w:t>
            </w:r>
            <w:r w:rsidRPr="00130F15">
              <w:rPr>
                <w:rFonts w:ascii="Arial" w:hAnsi="Arial" w:cs="Arial"/>
                <w:sz w:val="20"/>
              </w:rPr>
              <w:t xml:space="preserve">absences on days they are to present </w:t>
            </w:r>
            <w:r>
              <w:rPr>
                <w:rFonts w:ascii="Arial" w:hAnsi="Arial" w:cs="Arial"/>
                <w:sz w:val="20"/>
              </w:rPr>
              <w:t xml:space="preserve">an oral assignment </w:t>
            </w:r>
            <w:r w:rsidRPr="00130F15">
              <w:rPr>
                <w:rFonts w:ascii="Arial" w:hAnsi="Arial" w:cs="Arial"/>
                <w:sz w:val="20"/>
              </w:rPr>
              <w:t xml:space="preserve">in class must </w:t>
            </w:r>
            <w:proofErr w:type="gramStart"/>
            <w:r w:rsidRPr="00130F15">
              <w:rPr>
                <w:rFonts w:ascii="Arial" w:hAnsi="Arial" w:cs="Arial"/>
                <w:sz w:val="20"/>
              </w:rPr>
              <w:t>make arrangements</w:t>
            </w:r>
            <w:proofErr w:type="gramEnd"/>
            <w:r w:rsidRPr="00130F15">
              <w:rPr>
                <w:rFonts w:ascii="Arial" w:hAnsi="Arial" w:cs="Arial"/>
                <w:sz w:val="20"/>
              </w:rPr>
              <w:t xml:space="preserve"> to switch assignments with a different student</w:t>
            </w:r>
            <w:r w:rsidR="00CE6E0D">
              <w:rPr>
                <w:rFonts w:ascii="Arial" w:hAnsi="Arial" w:cs="Arial"/>
                <w:sz w:val="20"/>
              </w:rPr>
              <w:t xml:space="preserve"> prior to their scheduled presentation day</w:t>
            </w:r>
            <w:r w:rsidR="00E912A6">
              <w:rPr>
                <w:rFonts w:ascii="Arial" w:hAnsi="Arial" w:cs="Arial"/>
                <w:sz w:val="20"/>
              </w:rPr>
              <w:t>.</w:t>
            </w:r>
          </w:p>
          <w:p w14:paraId="3BAC59A5" w14:textId="5DF7ED80" w:rsidR="00AF48E6" w:rsidRDefault="00AF48E6" w:rsidP="00B9408D">
            <w:pPr>
              <w:rPr>
                <w:rFonts w:ascii="Arial" w:hAnsi="Arial" w:cs="Arial"/>
                <w:sz w:val="20"/>
              </w:rPr>
            </w:pPr>
          </w:p>
          <w:p w14:paraId="0B5F2A2F" w14:textId="3B22557E" w:rsidR="00AF48E6" w:rsidRDefault="00AF48E6" w:rsidP="00B9408D">
            <w:pPr>
              <w:rPr>
                <w:rFonts w:ascii="Arial" w:hAnsi="Arial" w:cs="Arial"/>
                <w:sz w:val="20"/>
              </w:rPr>
            </w:pPr>
            <w:r>
              <w:rPr>
                <w:rFonts w:ascii="Arial" w:hAnsi="Arial" w:cs="Arial"/>
                <w:sz w:val="20"/>
              </w:rPr>
              <w:t xml:space="preserve">Assignments that are found to be academically dishonest will receive a 0%. This includes plagiarism, lying, tampering, and giving or receiving unauthorized assistance. For more information, see </w:t>
            </w:r>
            <w:hyperlink r:id="rId8" w:history="1">
              <w:r w:rsidRPr="006917BB">
                <w:rPr>
                  <w:rStyle w:val="Hyperlink"/>
                  <w:rFonts w:ascii="Arial" w:hAnsi="Arial" w:cs="Arial"/>
                  <w:sz w:val="20"/>
                </w:rPr>
                <w:t>https://honesty.uga.edu/</w:t>
              </w:r>
            </w:hyperlink>
            <w:r>
              <w:rPr>
                <w:rFonts w:ascii="Arial" w:hAnsi="Arial" w:cs="Arial"/>
                <w:sz w:val="20"/>
              </w:rPr>
              <w:t xml:space="preserve"> </w:t>
            </w:r>
          </w:p>
          <w:p w14:paraId="2F368443" w14:textId="597CCEBD" w:rsidR="000B6CFA" w:rsidRDefault="000B6CFA" w:rsidP="00B9408D">
            <w:pPr>
              <w:rPr>
                <w:rFonts w:ascii="Arial" w:hAnsi="Arial" w:cs="Arial"/>
                <w:sz w:val="20"/>
              </w:rPr>
            </w:pPr>
          </w:p>
          <w:p w14:paraId="2413FEAE" w14:textId="5FA0F161" w:rsidR="000B6CFA" w:rsidRDefault="000B6CFA" w:rsidP="00B9408D">
            <w:pPr>
              <w:rPr>
                <w:rFonts w:ascii="Arial" w:hAnsi="Arial" w:cs="Arial"/>
                <w:sz w:val="20"/>
              </w:rPr>
            </w:pPr>
            <w:r w:rsidRPr="001E0826">
              <w:rPr>
                <w:rFonts w:ascii="Arial" w:hAnsi="Arial" w:cs="Arial"/>
                <w:sz w:val="20"/>
              </w:rPr>
              <w:t xml:space="preserve">UGA Student Honor Code: "I will be academically honest in all of my academic work and will not tolerate academic dishonesty of others." A Culture of Honesty, the University's </w:t>
            </w:r>
            <w:proofErr w:type="gramStart"/>
            <w:r w:rsidRPr="001E0826">
              <w:rPr>
                <w:rFonts w:ascii="Arial" w:hAnsi="Arial" w:cs="Arial"/>
                <w:sz w:val="20"/>
              </w:rPr>
              <w:t>policy</w:t>
            </w:r>
            <w:proofErr w:type="gramEnd"/>
            <w:r w:rsidRPr="001E0826">
              <w:rPr>
                <w:rFonts w:ascii="Arial" w:hAnsi="Arial" w:cs="Arial"/>
                <w:sz w:val="20"/>
              </w:rPr>
              <w:t xml:space="preserve"> and procedures for handling cases of suspected dishonesty, can be found at </w:t>
            </w:r>
            <w:hyperlink r:id="rId9" w:history="1">
              <w:r w:rsidRPr="005374E2">
                <w:rPr>
                  <w:rStyle w:val="Hyperlink"/>
                  <w:rFonts w:ascii="Arial" w:hAnsi="Arial" w:cs="Arial"/>
                  <w:sz w:val="20"/>
                </w:rPr>
                <w:t>www.uga.edu/ovpi</w:t>
              </w:r>
            </w:hyperlink>
            <w:r>
              <w:rPr>
                <w:rFonts w:ascii="Arial" w:hAnsi="Arial" w:cs="Arial"/>
                <w:sz w:val="20"/>
              </w:rPr>
              <w:t xml:space="preserve"> </w:t>
            </w:r>
          </w:p>
          <w:p w14:paraId="12653A42" w14:textId="68A118BF" w:rsidR="00AF48E6" w:rsidRDefault="00AF48E6" w:rsidP="00B9408D">
            <w:pPr>
              <w:rPr>
                <w:rFonts w:ascii="Arial" w:hAnsi="Arial" w:cs="Arial"/>
                <w:sz w:val="20"/>
              </w:rPr>
            </w:pPr>
          </w:p>
          <w:p w14:paraId="02F1EA17" w14:textId="5836FDA1" w:rsidR="00A23D52" w:rsidRDefault="00B9408D" w:rsidP="00B9408D">
            <w:pPr>
              <w:rPr>
                <w:rFonts w:ascii="Arial" w:hAnsi="Arial" w:cs="Arial"/>
                <w:sz w:val="20"/>
              </w:rPr>
            </w:pPr>
            <w:r w:rsidRPr="00A23D52">
              <w:rPr>
                <w:rFonts w:ascii="Arial" w:hAnsi="Arial" w:cs="Arial"/>
                <w:b/>
                <w:sz w:val="20"/>
              </w:rPr>
              <w:t>Case Briefs and Presentations</w:t>
            </w:r>
            <w:r>
              <w:rPr>
                <w:rFonts w:ascii="Arial" w:hAnsi="Arial" w:cs="Arial"/>
                <w:sz w:val="20"/>
              </w:rPr>
              <w:t>: Students will be</w:t>
            </w:r>
            <w:r w:rsidR="00EB3D57">
              <w:rPr>
                <w:rFonts w:ascii="Arial" w:hAnsi="Arial" w:cs="Arial"/>
                <w:sz w:val="20"/>
              </w:rPr>
              <w:t xml:space="preserve"> required to write case briefs </w:t>
            </w:r>
            <w:r>
              <w:rPr>
                <w:rFonts w:ascii="Arial" w:hAnsi="Arial" w:cs="Arial"/>
                <w:sz w:val="20"/>
              </w:rPr>
              <w:t xml:space="preserve">on Supreme Court decisions examined in this class. </w:t>
            </w:r>
            <w:r w:rsidR="00B86389">
              <w:rPr>
                <w:rFonts w:ascii="Arial" w:hAnsi="Arial" w:cs="Arial"/>
                <w:sz w:val="20"/>
              </w:rPr>
              <w:t>Case briefs summarize the elements of a case, which are detailed</w:t>
            </w:r>
            <w:r w:rsidR="006C3FDA">
              <w:rPr>
                <w:rFonts w:ascii="Arial" w:hAnsi="Arial" w:cs="Arial"/>
                <w:sz w:val="20"/>
              </w:rPr>
              <w:t xml:space="preserve"> at the end of the syllabus. </w:t>
            </w:r>
            <w:r w:rsidR="00A23D52">
              <w:rPr>
                <w:rFonts w:ascii="Arial" w:hAnsi="Arial" w:cs="Arial"/>
                <w:sz w:val="20"/>
              </w:rPr>
              <w:t>The case brief is expected to summarize all elements of a case, not just those elements reproduced or summarized in the textbook or other reference material. Part of the course will involve students locating full Supreme Court decisions, including concurrences and dissents.</w:t>
            </w:r>
            <w:r w:rsidR="00CA0771">
              <w:rPr>
                <w:rFonts w:ascii="Arial" w:hAnsi="Arial" w:cs="Arial"/>
                <w:sz w:val="20"/>
              </w:rPr>
              <w:t xml:space="preserve"> </w:t>
            </w:r>
            <w:r w:rsidR="00EB3D57">
              <w:rPr>
                <w:rFonts w:ascii="Arial" w:hAnsi="Arial" w:cs="Arial"/>
                <w:sz w:val="20"/>
              </w:rPr>
              <w:t>At minimum, s</w:t>
            </w:r>
            <w:r w:rsidR="00CA0771">
              <w:rPr>
                <w:rFonts w:ascii="Arial" w:hAnsi="Arial" w:cs="Arial"/>
                <w:sz w:val="20"/>
              </w:rPr>
              <w:t xml:space="preserve">tudents must follow the professor’s </w:t>
            </w:r>
            <w:r w:rsidR="00EB3D57">
              <w:rPr>
                <w:rFonts w:ascii="Arial" w:hAnsi="Arial" w:cs="Arial"/>
                <w:sz w:val="20"/>
              </w:rPr>
              <w:t>format when creating a case brief.</w:t>
            </w:r>
            <w:r w:rsidR="00EE5782">
              <w:rPr>
                <w:rFonts w:ascii="Arial" w:hAnsi="Arial" w:cs="Arial"/>
                <w:sz w:val="20"/>
              </w:rPr>
              <w:t xml:space="preserve"> Case briefs should be of a professional quality.</w:t>
            </w:r>
            <w:r w:rsidR="004415F9">
              <w:rPr>
                <w:rFonts w:ascii="Arial" w:hAnsi="Arial" w:cs="Arial"/>
                <w:sz w:val="20"/>
              </w:rPr>
              <w:t xml:space="preserve"> Case briefs will be evenly spaced throughout the semester, with the dates depending on class size and number of assignments.</w:t>
            </w:r>
          </w:p>
          <w:p w14:paraId="15AE1447" w14:textId="77777777" w:rsidR="00A23D52" w:rsidRDefault="00A23D52" w:rsidP="00B9408D">
            <w:pPr>
              <w:rPr>
                <w:rFonts w:ascii="Arial" w:hAnsi="Arial" w:cs="Arial"/>
                <w:sz w:val="20"/>
              </w:rPr>
            </w:pPr>
          </w:p>
          <w:p w14:paraId="524CB54E" w14:textId="448F120D" w:rsidR="00B9408D" w:rsidRDefault="00B9408D" w:rsidP="00B9408D">
            <w:pPr>
              <w:rPr>
                <w:rFonts w:ascii="Arial" w:hAnsi="Arial" w:cs="Arial"/>
                <w:sz w:val="20"/>
              </w:rPr>
            </w:pPr>
            <w:r>
              <w:rPr>
                <w:rFonts w:ascii="Arial" w:hAnsi="Arial" w:cs="Arial"/>
                <w:sz w:val="20"/>
              </w:rPr>
              <w:t>Students will also be required to present</w:t>
            </w:r>
            <w:r w:rsidR="00505FDF">
              <w:rPr>
                <w:rFonts w:ascii="Arial" w:hAnsi="Arial" w:cs="Arial"/>
                <w:sz w:val="20"/>
              </w:rPr>
              <w:t xml:space="preserve"> some of</w:t>
            </w:r>
            <w:r>
              <w:rPr>
                <w:rFonts w:ascii="Arial" w:hAnsi="Arial" w:cs="Arial"/>
                <w:sz w:val="20"/>
              </w:rPr>
              <w:t xml:space="preserve"> these cases to the class</w:t>
            </w:r>
            <w:r w:rsidR="005B71F0">
              <w:rPr>
                <w:rFonts w:ascii="Arial" w:hAnsi="Arial" w:cs="Arial"/>
                <w:sz w:val="20"/>
              </w:rPr>
              <w:t>.</w:t>
            </w:r>
            <w:r w:rsidR="006C3FDA">
              <w:rPr>
                <w:rFonts w:ascii="Arial" w:hAnsi="Arial" w:cs="Arial"/>
                <w:sz w:val="20"/>
              </w:rPr>
              <w:t xml:space="preserve"> </w:t>
            </w:r>
            <w:r>
              <w:rPr>
                <w:rFonts w:ascii="Arial" w:hAnsi="Arial" w:cs="Arial"/>
                <w:sz w:val="20"/>
              </w:rPr>
              <w:t xml:space="preserve">The number of cases a student can expect to present is dependent upon class size but should expect to complete multiple </w:t>
            </w:r>
            <w:r w:rsidR="006C3FDA">
              <w:rPr>
                <w:rFonts w:ascii="Arial" w:hAnsi="Arial" w:cs="Arial"/>
                <w:sz w:val="20"/>
              </w:rPr>
              <w:t xml:space="preserve">case briefs. The instructor will assign students to both the </w:t>
            </w:r>
            <w:proofErr w:type="gramStart"/>
            <w:r w:rsidR="006C3FDA">
              <w:rPr>
                <w:rFonts w:ascii="Arial" w:hAnsi="Arial" w:cs="Arial"/>
                <w:sz w:val="20"/>
              </w:rPr>
              <w:t>case</w:t>
            </w:r>
            <w:proofErr w:type="gramEnd"/>
            <w:r w:rsidR="006C3FDA">
              <w:rPr>
                <w:rFonts w:ascii="Arial" w:hAnsi="Arial" w:cs="Arial"/>
                <w:sz w:val="20"/>
              </w:rPr>
              <w:t xml:space="preserve"> to be briefed and presented as well as the date both are due. Students may trade assignments with each other when both consent and both inform the professo</w:t>
            </w:r>
            <w:r w:rsidR="00130F15">
              <w:rPr>
                <w:rFonts w:ascii="Arial" w:hAnsi="Arial" w:cs="Arial"/>
                <w:sz w:val="20"/>
              </w:rPr>
              <w:t>r with written communication.</w:t>
            </w:r>
          </w:p>
          <w:p w14:paraId="63D443CB" w14:textId="77777777" w:rsidR="006C3FDA" w:rsidRDefault="006C3FDA" w:rsidP="00B9408D">
            <w:pPr>
              <w:rPr>
                <w:rFonts w:ascii="Arial" w:hAnsi="Arial" w:cs="Arial"/>
                <w:sz w:val="20"/>
              </w:rPr>
            </w:pPr>
          </w:p>
          <w:p w14:paraId="6139ABCB" w14:textId="3CEEC782" w:rsidR="006C3FDA" w:rsidRDefault="006C3FDA" w:rsidP="00B9408D">
            <w:pPr>
              <w:rPr>
                <w:rFonts w:ascii="Arial" w:hAnsi="Arial" w:cs="Arial"/>
                <w:sz w:val="20"/>
              </w:rPr>
            </w:pPr>
            <w:r w:rsidRPr="00A23D52">
              <w:rPr>
                <w:rFonts w:ascii="Arial" w:hAnsi="Arial" w:cs="Arial"/>
                <w:b/>
                <w:sz w:val="20"/>
              </w:rPr>
              <w:t>Quizzes</w:t>
            </w:r>
            <w:r>
              <w:rPr>
                <w:rFonts w:ascii="Arial" w:hAnsi="Arial" w:cs="Arial"/>
                <w:sz w:val="20"/>
              </w:rPr>
              <w:t>: Quizzes will be administered</w:t>
            </w:r>
            <w:r w:rsidR="00505FDF">
              <w:rPr>
                <w:rFonts w:ascii="Arial" w:hAnsi="Arial" w:cs="Arial"/>
                <w:sz w:val="20"/>
              </w:rPr>
              <w:t xml:space="preserve"> weekly</w:t>
            </w:r>
            <w:r>
              <w:rPr>
                <w:rFonts w:ascii="Arial" w:hAnsi="Arial" w:cs="Arial"/>
                <w:sz w:val="20"/>
              </w:rPr>
              <w:t xml:space="preserve"> to ensure that students </w:t>
            </w:r>
            <w:r w:rsidR="00A23D52">
              <w:rPr>
                <w:rFonts w:ascii="Arial" w:hAnsi="Arial" w:cs="Arial"/>
                <w:sz w:val="20"/>
              </w:rPr>
              <w:t>are engaged with the materials. They will ask about the cases that have been assigned in class, up to and including the cases to be discussed on the day of the quiz. Quizzes will cover material either from the textbook or the text of the case itself.</w:t>
            </w:r>
          </w:p>
          <w:p w14:paraId="2F689E7E" w14:textId="5B952090" w:rsidR="005C2A7A" w:rsidRDefault="005C2A7A" w:rsidP="00B9408D">
            <w:pPr>
              <w:rPr>
                <w:rFonts w:ascii="Arial" w:hAnsi="Arial" w:cs="Arial"/>
                <w:sz w:val="20"/>
              </w:rPr>
            </w:pPr>
          </w:p>
          <w:p w14:paraId="030F1786" w14:textId="37FAA22B" w:rsidR="005C2A7A" w:rsidRDefault="005C2A7A" w:rsidP="00B9408D">
            <w:pPr>
              <w:rPr>
                <w:rFonts w:ascii="Arial" w:hAnsi="Arial" w:cs="Arial"/>
                <w:sz w:val="20"/>
              </w:rPr>
            </w:pPr>
            <w:r>
              <w:rPr>
                <w:rFonts w:ascii="Arial" w:hAnsi="Arial" w:cs="Arial"/>
                <w:b/>
                <w:sz w:val="20"/>
              </w:rPr>
              <w:t>Participation</w:t>
            </w:r>
            <w:r>
              <w:rPr>
                <w:rFonts w:ascii="Arial" w:hAnsi="Arial" w:cs="Arial"/>
                <w:sz w:val="20"/>
              </w:rPr>
              <w:t xml:space="preserve">: Students may occasionally be given assignments that are outside the scope of the above required assignments. These assignments will fall under a student’s participation grade. </w:t>
            </w:r>
            <w:r w:rsidRPr="005C2A7A">
              <w:rPr>
                <w:rFonts w:ascii="Arial" w:hAnsi="Arial" w:cs="Arial"/>
                <w:sz w:val="20"/>
              </w:rPr>
              <w:t xml:space="preserve">Students who display persistent behavior issues </w:t>
            </w:r>
            <w:r>
              <w:rPr>
                <w:rFonts w:ascii="Arial" w:hAnsi="Arial" w:cs="Arial"/>
                <w:sz w:val="20"/>
              </w:rPr>
              <w:t xml:space="preserve">during </w:t>
            </w:r>
            <w:r w:rsidR="00D46D11">
              <w:rPr>
                <w:rFonts w:ascii="Arial" w:hAnsi="Arial" w:cs="Arial"/>
                <w:sz w:val="20"/>
              </w:rPr>
              <w:t>class</w:t>
            </w:r>
            <w:r w:rsidRPr="005C2A7A">
              <w:rPr>
                <w:rFonts w:ascii="Arial" w:hAnsi="Arial" w:cs="Arial"/>
                <w:sz w:val="20"/>
              </w:rPr>
              <w:t xml:space="preserve"> will also be docked on their participation grade.</w:t>
            </w:r>
          </w:p>
          <w:p w14:paraId="686B3473" w14:textId="0A5ED06A" w:rsidR="00A23D52" w:rsidRPr="00A23D52" w:rsidRDefault="00A23D52" w:rsidP="00B9408D">
            <w:pPr>
              <w:rPr>
                <w:rFonts w:ascii="Arial" w:hAnsi="Arial" w:cs="Arial"/>
                <w:sz w:val="20"/>
              </w:rPr>
            </w:pPr>
          </w:p>
        </w:tc>
      </w:tr>
      <w:tr w:rsidR="00884395" w:rsidRPr="00C2322F" w14:paraId="1656B35C" w14:textId="77777777" w:rsidTr="00D76428">
        <w:tc>
          <w:tcPr>
            <w:tcW w:w="10340" w:type="dxa"/>
            <w:gridSpan w:val="3"/>
            <w:shd w:val="clear" w:color="auto" w:fill="auto"/>
          </w:tcPr>
          <w:p w14:paraId="6CCD2D7B" w14:textId="77777777" w:rsidR="00884395" w:rsidRPr="00C2322F" w:rsidRDefault="00884395" w:rsidP="00884395">
            <w:pPr>
              <w:jc w:val="center"/>
              <w:rPr>
                <w:rFonts w:ascii="Arial" w:hAnsi="Arial" w:cs="Arial"/>
                <w:b/>
                <w:sz w:val="20"/>
              </w:rPr>
            </w:pPr>
          </w:p>
        </w:tc>
      </w:tr>
      <w:tr w:rsidR="00884395" w:rsidRPr="00C2322F" w14:paraId="7B8C9EEE" w14:textId="77777777" w:rsidTr="00D76428">
        <w:tc>
          <w:tcPr>
            <w:tcW w:w="10340" w:type="dxa"/>
            <w:gridSpan w:val="3"/>
            <w:shd w:val="clear" w:color="auto" w:fill="auto"/>
          </w:tcPr>
          <w:p w14:paraId="18BD251E" w14:textId="77777777" w:rsidR="0068609D" w:rsidRDefault="0068609D" w:rsidP="00012A9E">
            <w:pPr>
              <w:jc w:val="center"/>
              <w:rPr>
                <w:rFonts w:ascii="Arial" w:hAnsi="Arial" w:cs="Arial"/>
                <w:b/>
                <w:sz w:val="20"/>
              </w:rPr>
            </w:pPr>
          </w:p>
          <w:p w14:paraId="2D11A396" w14:textId="77777777" w:rsidR="0068609D" w:rsidRDefault="0068609D" w:rsidP="00012A9E">
            <w:pPr>
              <w:jc w:val="center"/>
              <w:rPr>
                <w:rFonts w:ascii="Arial" w:hAnsi="Arial" w:cs="Arial"/>
                <w:b/>
                <w:sz w:val="20"/>
              </w:rPr>
            </w:pPr>
          </w:p>
          <w:p w14:paraId="39693B21" w14:textId="77777777" w:rsidR="0068609D" w:rsidRDefault="0068609D" w:rsidP="00012A9E">
            <w:pPr>
              <w:jc w:val="center"/>
              <w:rPr>
                <w:rFonts w:ascii="Arial" w:hAnsi="Arial" w:cs="Arial"/>
                <w:b/>
                <w:sz w:val="20"/>
              </w:rPr>
            </w:pPr>
          </w:p>
          <w:p w14:paraId="172B84A6" w14:textId="18BD8377" w:rsidR="00884395" w:rsidRPr="00C2322F" w:rsidRDefault="00884395" w:rsidP="00012A9E">
            <w:pPr>
              <w:jc w:val="center"/>
              <w:rPr>
                <w:rFonts w:ascii="Arial" w:hAnsi="Arial" w:cs="Arial"/>
                <w:i/>
                <w:sz w:val="18"/>
              </w:rPr>
            </w:pPr>
            <w:r w:rsidRPr="00C2322F">
              <w:rPr>
                <w:rFonts w:ascii="Arial" w:hAnsi="Arial" w:cs="Arial"/>
                <w:b/>
                <w:sz w:val="20"/>
              </w:rPr>
              <w:t xml:space="preserve">Major </w:t>
            </w:r>
            <w:r w:rsidR="00012A9E">
              <w:rPr>
                <w:rFonts w:ascii="Arial" w:hAnsi="Arial" w:cs="Arial"/>
                <w:b/>
                <w:sz w:val="20"/>
              </w:rPr>
              <w:t>Class</w:t>
            </w:r>
            <w:r w:rsidRPr="00C2322F">
              <w:rPr>
                <w:rFonts w:ascii="Arial" w:hAnsi="Arial" w:cs="Arial"/>
                <w:b/>
                <w:sz w:val="20"/>
              </w:rPr>
              <w:t xml:space="preserve"> Dates</w:t>
            </w:r>
          </w:p>
        </w:tc>
      </w:tr>
      <w:tr w:rsidR="00884395" w:rsidRPr="00C2322F" w14:paraId="689FA131" w14:textId="77777777" w:rsidTr="00D76428">
        <w:tc>
          <w:tcPr>
            <w:tcW w:w="10340" w:type="dxa"/>
            <w:gridSpan w:val="3"/>
            <w:shd w:val="clear" w:color="auto" w:fill="auto"/>
          </w:tcPr>
          <w:p w14:paraId="5CBA0D5D" w14:textId="77777777" w:rsidR="00884395" w:rsidRPr="00C2322F" w:rsidRDefault="00884395" w:rsidP="00884395">
            <w:pPr>
              <w:rPr>
                <w:rFonts w:ascii="Arial" w:hAnsi="Arial" w:cs="Arial"/>
                <w:sz w:val="10"/>
                <w:szCs w:val="10"/>
              </w:rPr>
            </w:pPr>
          </w:p>
        </w:tc>
      </w:tr>
      <w:tr w:rsidR="00884395" w:rsidRPr="00C2322F" w14:paraId="28B00509" w14:textId="77777777" w:rsidTr="00D76428">
        <w:tc>
          <w:tcPr>
            <w:tcW w:w="10340" w:type="dxa"/>
            <w:gridSpan w:val="3"/>
            <w:shd w:val="clear" w:color="auto" w:fill="auto"/>
          </w:tcPr>
          <w:p w14:paraId="640C46E9" w14:textId="07F7B5DB" w:rsidR="00CE6E0D" w:rsidRDefault="00CE6E0D" w:rsidP="00D6678E">
            <w:pPr>
              <w:rPr>
                <w:rFonts w:ascii="Arial" w:hAnsi="Arial" w:cs="Arial"/>
                <w:sz w:val="20"/>
                <w:szCs w:val="20"/>
              </w:rPr>
            </w:pPr>
            <w:r>
              <w:rPr>
                <w:rFonts w:ascii="Arial" w:hAnsi="Arial" w:cs="Arial"/>
                <w:sz w:val="20"/>
                <w:szCs w:val="20"/>
              </w:rPr>
              <w:t>Wednesday-</w:t>
            </w:r>
            <w:r w:rsidR="00D31A6A">
              <w:rPr>
                <w:rFonts w:ascii="Arial" w:hAnsi="Arial" w:cs="Arial"/>
                <w:sz w:val="20"/>
                <w:szCs w:val="20"/>
              </w:rPr>
              <w:t>Tuesday</w:t>
            </w:r>
            <w:r>
              <w:rPr>
                <w:rFonts w:ascii="Arial" w:hAnsi="Arial" w:cs="Arial"/>
                <w:sz w:val="20"/>
                <w:szCs w:val="20"/>
              </w:rPr>
              <w:t xml:space="preserve">, </w:t>
            </w:r>
            <w:r w:rsidR="00D31A6A">
              <w:rPr>
                <w:rFonts w:ascii="Arial" w:hAnsi="Arial" w:cs="Arial"/>
                <w:sz w:val="20"/>
                <w:szCs w:val="20"/>
              </w:rPr>
              <w:t>August</w:t>
            </w:r>
            <w:r>
              <w:rPr>
                <w:rFonts w:ascii="Arial" w:hAnsi="Arial" w:cs="Arial"/>
                <w:sz w:val="20"/>
                <w:szCs w:val="20"/>
              </w:rPr>
              <w:t xml:space="preserve"> 1</w:t>
            </w:r>
            <w:r w:rsidR="00F97A7F">
              <w:rPr>
                <w:rFonts w:ascii="Arial" w:hAnsi="Arial" w:cs="Arial"/>
                <w:sz w:val="20"/>
                <w:szCs w:val="20"/>
              </w:rPr>
              <w:t>6</w:t>
            </w:r>
            <w:r>
              <w:rPr>
                <w:rFonts w:ascii="Arial" w:hAnsi="Arial" w:cs="Arial"/>
                <w:sz w:val="20"/>
                <w:szCs w:val="20"/>
              </w:rPr>
              <w:t>-2</w:t>
            </w:r>
            <w:r w:rsidR="00F97A7F">
              <w:rPr>
                <w:rFonts w:ascii="Arial" w:hAnsi="Arial" w:cs="Arial"/>
                <w:sz w:val="20"/>
                <w:szCs w:val="20"/>
              </w:rPr>
              <w:t>2</w:t>
            </w:r>
            <w:r>
              <w:rPr>
                <w:rFonts w:ascii="Arial" w:hAnsi="Arial" w:cs="Arial"/>
                <w:sz w:val="20"/>
                <w:szCs w:val="20"/>
              </w:rPr>
              <w:t>: Add/Drop Period</w:t>
            </w:r>
          </w:p>
          <w:p w14:paraId="636AC8BF" w14:textId="670F547C" w:rsidR="00CE6E0D" w:rsidRDefault="00CE6E0D" w:rsidP="00D6678E">
            <w:pPr>
              <w:rPr>
                <w:rFonts w:ascii="Arial" w:hAnsi="Arial" w:cs="Arial"/>
                <w:sz w:val="20"/>
                <w:szCs w:val="20"/>
              </w:rPr>
            </w:pPr>
            <w:r>
              <w:rPr>
                <w:rFonts w:ascii="Arial" w:hAnsi="Arial" w:cs="Arial"/>
                <w:sz w:val="20"/>
                <w:szCs w:val="20"/>
              </w:rPr>
              <w:t xml:space="preserve">Monday, </w:t>
            </w:r>
            <w:r w:rsidR="00D31A6A">
              <w:rPr>
                <w:rFonts w:ascii="Arial" w:hAnsi="Arial" w:cs="Arial"/>
                <w:sz w:val="20"/>
                <w:szCs w:val="20"/>
              </w:rPr>
              <w:t xml:space="preserve">September </w:t>
            </w:r>
            <w:r w:rsidR="00F97A7F">
              <w:rPr>
                <w:rFonts w:ascii="Arial" w:hAnsi="Arial" w:cs="Arial"/>
                <w:sz w:val="20"/>
                <w:szCs w:val="20"/>
              </w:rPr>
              <w:t>4</w:t>
            </w:r>
            <w:r>
              <w:rPr>
                <w:rFonts w:ascii="Arial" w:hAnsi="Arial" w:cs="Arial"/>
                <w:sz w:val="20"/>
                <w:szCs w:val="20"/>
              </w:rPr>
              <w:t xml:space="preserve">: </w:t>
            </w:r>
            <w:r w:rsidR="00D31A6A">
              <w:rPr>
                <w:rFonts w:ascii="Arial" w:hAnsi="Arial" w:cs="Arial"/>
                <w:sz w:val="20"/>
                <w:szCs w:val="20"/>
              </w:rPr>
              <w:t>Labor Day (No classes)</w:t>
            </w:r>
          </w:p>
          <w:p w14:paraId="2AE30238" w14:textId="0CF9E697" w:rsidR="00D31A6A" w:rsidRDefault="00D31A6A" w:rsidP="00D31A6A">
            <w:pPr>
              <w:rPr>
                <w:rFonts w:ascii="Arial" w:hAnsi="Arial" w:cs="Arial"/>
                <w:sz w:val="20"/>
                <w:szCs w:val="20"/>
              </w:rPr>
            </w:pPr>
            <w:r>
              <w:rPr>
                <w:rFonts w:ascii="Arial" w:hAnsi="Arial" w:cs="Arial"/>
                <w:sz w:val="20"/>
                <w:szCs w:val="20"/>
              </w:rPr>
              <w:t>Monday, October 2</w:t>
            </w:r>
            <w:r w:rsidR="00F97A7F">
              <w:rPr>
                <w:rFonts w:ascii="Arial" w:hAnsi="Arial" w:cs="Arial"/>
                <w:sz w:val="20"/>
                <w:szCs w:val="20"/>
              </w:rPr>
              <w:t>3</w:t>
            </w:r>
            <w:r>
              <w:rPr>
                <w:rFonts w:ascii="Arial" w:hAnsi="Arial" w:cs="Arial"/>
                <w:sz w:val="20"/>
                <w:szCs w:val="20"/>
              </w:rPr>
              <w:t>: Withdrawal Deadline</w:t>
            </w:r>
          </w:p>
          <w:p w14:paraId="3BDFC39B" w14:textId="7F7BBC43" w:rsidR="00CE6E0D" w:rsidRDefault="00D31A6A" w:rsidP="00D6678E">
            <w:pPr>
              <w:rPr>
                <w:rFonts w:ascii="Arial" w:hAnsi="Arial" w:cs="Arial"/>
                <w:sz w:val="20"/>
                <w:szCs w:val="20"/>
              </w:rPr>
            </w:pPr>
            <w:r>
              <w:rPr>
                <w:rFonts w:ascii="Arial" w:hAnsi="Arial" w:cs="Arial"/>
                <w:sz w:val="20"/>
                <w:szCs w:val="20"/>
              </w:rPr>
              <w:t>Friday, October 2</w:t>
            </w:r>
            <w:r w:rsidR="00F97A7F">
              <w:rPr>
                <w:rFonts w:ascii="Arial" w:hAnsi="Arial" w:cs="Arial"/>
                <w:sz w:val="20"/>
                <w:szCs w:val="20"/>
              </w:rPr>
              <w:t>7</w:t>
            </w:r>
            <w:r w:rsidR="00CE6E0D">
              <w:rPr>
                <w:rFonts w:ascii="Arial" w:hAnsi="Arial" w:cs="Arial"/>
                <w:sz w:val="20"/>
                <w:szCs w:val="20"/>
              </w:rPr>
              <w:t xml:space="preserve">: </w:t>
            </w:r>
            <w:r>
              <w:rPr>
                <w:rFonts w:ascii="Arial" w:hAnsi="Arial" w:cs="Arial"/>
                <w:sz w:val="20"/>
                <w:szCs w:val="20"/>
              </w:rPr>
              <w:t>Fall Break (</w:t>
            </w:r>
            <w:r w:rsidR="00CE6E0D">
              <w:rPr>
                <w:rFonts w:ascii="Arial" w:hAnsi="Arial" w:cs="Arial"/>
                <w:sz w:val="20"/>
                <w:szCs w:val="20"/>
              </w:rPr>
              <w:t>No classes</w:t>
            </w:r>
            <w:r>
              <w:rPr>
                <w:rFonts w:ascii="Arial" w:hAnsi="Arial" w:cs="Arial"/>
                <w:sz w:val="20"/>
                <w:szCs w:val="20"/>
              </w:rPr>
              <w:t>)</w:t>
            </w:r>
          </w:p>
          <w:p w14:paraId="791F6F29" w14:textId="00FFBDD0" w:rsidR="00CE6E0D" w:rsidRDefault="00D31A6A" w:rsidP="00884395">
            <w:pPr>
              <w:rPr>
                <w:rFonts w:ascii="Arial" w:hAnsi="Arial" w:cs="Arial"/>
                <w:sz w:val="20"/>
                <w:szCs w:val="20"/>
              </w:rPr>
            </w:pPr>
            <w:r>
              <w:rPr>
                <w:rFonts w:ascii="Arial" w:hAnsi="Arial" w:cs="Arial"/>
                <w:sz w:val="20"/>
                <w:szCs w:val="20"/>
              </w:rPr>
              <w:t>Wednesday-Friday, November 2</w:t>
            </w:r>
            <w:r w:rsidR="00F97A7F">
              <w:rPr>
                <w:rFonts w:ascii="Arial" w:hAnsi="Arial" w:cs="Arial"/>
                <w:sz w:val="20"/>
                <w:szCs w:val="20"/>
              </w:rPr>
              <w:t>2</w:t>
            </w:r>
            <w:r>
              <w:rPr>
                <w:rFonts w:ascii="Arial" w:hAnsi="Arial" w:cs="Arial"/>
                <w:sz w:val="20"/>
                <w:szCs w:val="20"/>
              </w:rPr>
              <w:t>-2</w:t>
            </w:r>
            <w:r w:rsidR="00F97A7F">
              <w:rPr>
                <w:rFonts w:ascii="Arial" w:hAnsi="Arial" w:cs="Arial"/>
                <w:sz w:val="20"/>
                <w:szCs w:val="20"/>
              </w:rPr>
              <w:t>4</w:t>
            </w:r>
            <w:r w:rsidR="00CE6E0D">
              <w:rPr>
                <w:rFonts w:ascii="Arial" w:hAnsi="Arial" w:cs="Arial"/>
                <w:sz w:val="20"/>
                <w:szCs w:val="20"/>
              </w:rPr>
              <w:t xml:space="preserve">: </w:t>
            </w:r>
            <w:r>
              <w:rPr>
                <w:rFonts w:ascii="Arial" w:hAnsi="Arial" w:cs="Arial"/>
                <w:sz w:val="20"/>
                <w:szCs w:val="20"/>
              </w:rPr>
              <w:t>Thanksgiving (</w:t>
            </w:r>
            <w:r w:rsidR="00CE6E0D">
              <w:rPr>
                <w:rFonts w:ascii="Arial" w:hAnsi="Arial" w:cs="Arial"/>
                <w:sz w:val="20"/>
                <w:szCs w:val="20"/>
              </w:rPr>
              <w:t>No classes</w:t>
            </w:r>
            <w:r>
              <w:rPr>
                <w:rFonts w:ascii="Arial" w:hAnsi="Arial" w:cs="Arial"/>
                <w:sz w:val="20"/>
                <w:szCs w:val="20"/>
              </w:rPr>
              <w:t>)</w:t>
            </w:r>
          </w:p>
          <w:p w14:paraId="6C7391DF" w14:textId="6E37B2D6" w:rsidR="00884395" w:rsidRPr="00C2322F" w:rsidRDefault="00955F8D" w:rsidP="000E5A69">
            <w:pPr>
              <w:rPr>
                <w:rFonts w:ascii="Arial" w:hAnsi="Arial" w:cs="Arial"/>
                <w:sz w:val="20"/>
                <w:szCs w:val="20"/>
              </w:rPr>
            </w:pPr>
            <w:r>
              <w:rPr>
                <w:rFonts w:ascii="Arial" w:hAnsi="Arial" w:cs="Arial"/>
                <w:sz w:val="20"/>
                <w:szCs w:val="20"/>
              </w:rPr>
              <w:t>Wednesday, December 13 (noon): Final Exam</w:t>
            </w:r>
          </w:p>
        </w:tc>
      </w:tr>
      <w:tr w:rsidR="00884395" w:rsidRPr="00C2322F" w14:paraId="279A26EC" w14:textId="77777777" w:rsidTr="00D76428">
        <w:tc>
          <w:tcPr>
            <w:tcW w:w="10340" w:type="dxa"/>
            <w:gridSpan w:val="3"/>
            <w:shd w:val="clear" w:color="auto" w:fill="auto"/>
          </w:tcPr>
          <w:p w14:paraId="03BDE8D7" w14:textId="0789D249" w:rsidR="004A2046" w:rsidRPr="00C2322F" w:rsidRDefault="004A2046" w:rsidP="004415F9">
            <w:pPr>
              <w:rPr>
                <w:rFonts w:ascii="Arial" w:hAnsi="Arial" w:cs="Arial"/>
                <w:sz w:val="20"/>
              </w:rPr>
            </w:pPr>
          </w:p>
        </w:tc>
      </w:tr>
      <w:tr w:rsidR="000B6CFA" w:rsidRPr="00C2322F" w14:paraId="05077C4A" w14:textId="77777777" w:rsidTr="00D76428">
        <w:tc>
          <w:tcPr>
            <w:tcW w:w="10340" w:type="dxa"/>
            <w:gridSpan w:val="3"/>
            <w:shd w:val="clear" w:color="auto" w:fill="auto"/>
          </w:tcPr>
          <w:p w14:paraId="05C22B65" w14:textId="77777777" w:rsidR="000B6CFA" w:rsidRPr="0006705C" w:rsidRDefault="000B6CFA" w:rsidP="000B6CFA">
            <w:pPr>
              <w:jc w:val="center"/>
              <w:rPr>
                <w:rFonts w:ascii="Arial" w:hAnsi="Arial" w:cs="Arial"/>
                <w:b/>
                <w:sz w:val="20"/>
              </w:rPr>
            </w:pPr>
          </w:p>
        </w:tc>
      </w:tr>
      <w:tr w:rsidR="000B6CFA" w:rsidRPr="00C2322F" w14:paraId="5EAB2657" w14:textId="77777777" w:rsidTr="00D76428">
        <w:tc>
          <w:tcPr>
            <w:tcW w:w="10340" w:type="dxa"/>
            <w:gridSpan w:val="3"/>
            <w:shd w:val="clear" w:color="auto" w:fill="auto"/>
          </w:tcPr>
          <w:p w14:paraId="5FD3E2A8" w14:textId="53D38EDA" w:rsidR="000B6CFA" w:rsidRPr="00C2322F" w:rsidRDefault="000B6CFA" w:rsidP="000B6CFA">
            <w:pPr>
              <w:jc w:val="center"/>
              <w:rPr>
                <w:rFonts w:ascii="Arial" w:hAnsi="Arial" w:cs="Arial"/>
                <w:b/>
                <w:sz w:val="20"/>
              </w:rPr>
            </w:pPr>
            <w:r w:rsidRPr="0006705C">
              <w:rPr>
                <w:rFonts w:ascii="Arial" w:hAnsi="Arial" w:cs="Arial"/>
                <w:b/>
                <w:sz w:val="20"/>
              </w:rPr>
              <w:t>Mental Health and Wellness Re</w:t>
            </w:r>
            <w:r>
              <w:rPr>
                <w:rFonts w:ascii="Arial" w:hAnsi="Arial" w:cs="Arial"/>
                <w:b/>
                <w:sz w:val="20"/>
              </w:rPr>
              <w:t>sources</w:t>
            </w:r>
          </w:p>
        </w:tc>
      </w:tr>
      <w:tr w:rsidR="000B6CFA" w:rsidRPr="00C2322F" w14:paraId="54EB30FB" w14:textId="77777777" w:rsidTr="00D76428">
        <w:trPr>
          <w:trHeight w:val="89"/>
        </w:trPr>
        <w:tc>
          <w:tcPr>
            <w:tcW w:w="10340" w:type="dxa"/>
            <w:gridSpan w:val="3"/>
            <w:shd w:val="clear" w:color="auto" w:fill="auto"/>
          </w:tcPr>
          <w:p w14:paraId="66EAB33E" w14:textId="77777777" w:rsidR="000B6CFA" w:rsidRPr="00C2322F" w:rsidRDefault="000B6CFA" w:rsidP="000B6CFA">
            <w:pPr>
              <w:rPr>
                <w:rFonts w:ascii="Arial" w:hAnsi="Arial" w:cs="Arial"/>
                <w:sz w:val="10"/>
              </w:rPr>
            </w:pPr>
          </w:p>
        </w:tc>
      </w:tr>
      <w:tr w:rsidR="000B6CFA" w:rsidRPr="00C2322F" w14:paraId="1B8147B2" w14:textId="77777777" w:rsidTr="00D76428">
        <w:tc>
          <w:tcPr>
            <w:tcW w:w="10340" w:type="dxa"/>
            <w:gridSpan w:val="3"/>
            <w:shd w:val="clear" w:color="auto" w:fill="auto"/>
          </w:tcPr>
          <w:p w14:paraId="7FC74004" w14:textId="77777777" w:rsidR="000B6CFA" w:rsidRPr="00C22D31" w:rsidRDefault="000B6CFA" w:rsidP="000B6CFA">
            <w:pPr>
              <w:numPr>
                <w:ilvl w:val="0"/>
                <w:numId w:val="5"/>
              </w:numPr>
              <w:rPr>
                <w:rFonts w:ascii="Arial" w:hAnsi="Arial" w:cs="Arial"/>
                <w:sz w:val="20"/>
              </w:rPr>
            </w:pPr>
            <w:r w:rsidRPr="00C22D31">
              <w:rPr>
                <w:rFonts w:ascii="Arial" w:hAnsi="Arial" w:cs="Arial"/>
                <w:i/>
                <w:iCs/>
                <w:sz w:val="20"/>
              </w:rPr>
              <w:t>If you or someone you know needs assistance, you are encouraged to contact Student Care and Outreach in the Division of Student Affairs at 706-542-7774 or visit </w:t>
            </w:r>
            <w:hyperlink r:id="rId10" w:history="1">
              <w:r w:rsidRPr="00C22D31">
                <w:rPr>
                  <w:rStyle w:val="Hyperlink"/>
                  <w:rFonts w:ascii="Arial" w:hAnsi="Arial" w:cs="Arial"/>
                  <w:i/>
                  <w:iCs/>
                  <w:sz w:val="20"/>
                </w:rPr>
                <w:t>https://sco.uga.edu</w:t>
              </w:r>
            </w:hyperlink>
            <w:r w:rsidRPr="00C22D31">
              <w:rPr>
                <w:rFonts w:ascii="Arial" w:hAnsi="Arial" w:cs="Arial"/>
                <w:i/>
                <w:iCs/>
                <w:sz w:val="20"/>
              </w:rPr>
              <w:t>. They will help you navigate any difficult circumstances you may be facing by connecting you with the appropriate resources or services. </w:t>
            </w:r>
          </w:p>
          <w:p w14:paraId="19EFE45F" w14:textId="77777777" w:rsidR="000B6CFA" w:rsidRPr="00C22D31" w:rsidRDefault="000B6CFA" w:rsidP="000B6CFA">
            <w:pPr>
              <w:numPr>
                <w:ilvl w:val="0"/>
                <w:numId w:val="5"/>
              </w:numPr>
              <w:rPr>
                <w:rFonts w:ascii="Arial" w:hAnsi="Arial" w:cs="Arial"/>
                <w:sz w:val="20"/>
              </w:rPr>
            </w:pPr>
            <w:r w:rsidRPr="00C22D31">
              <w:rPr>
                <w:rFonts w:ascii="Arial" w:hAnsi="Arial" w:cs="Arial"/>
                <w:i/>
                <w:iCs/>
                <w:sz w:val="20"/>
              </w:rPr>
              <w:t>UGA has several resources for a student seeking mental health services (</w:t>
            </w:r>
            <w:hyperlink r:id="rId11" w:history="1">
              <w:r w:rsidRPr="00C22D31">
                <w:rPr>
                  <w:rStyle w:val="Hyperlink"/>
                  <w:rFonts w:ascii="Arial" w:hAnsi="Arial" w:cs="Arial"/>
                  <w:i/>
                  <w:iCs/>
                  <w:sz w:val="20"/>
                </w:rPr>
                <w:t>https://www.uhs.uga.edu/bewelluga/bewelluga</w:t>
              </w:r>
            </w:hyperlink>
            <w:r w:rsidRPr="00C22D31">
              <w:rPr>
                <w:rFonts w:ascii="Arial" w:hAnsi="Arial" w:cs="Arial"/>
                <w:i/>
                <w:iCs/>
                <w:sz w:val="20"/>
              </w:rPr>
              <w:t>) or crisis support (</w:t>
            </w:r>
            <w:hyperlink r:id="rId12" w:history="1">
              <w:r w:rsidRPr="00C22D31">
                <w:rPr>
                  <w:rStyle w:val="Hyperlink"/>
                  <w:rFonts w:ascii="Arial" w:hAnsi="Arial" w:cs="Arial"/>
                  <w:i/>
                  <w:iCs/>
                  <w:sz w:val="20"/>
                </w:rPr>
                <w:t>https://www.uhs.uga.edu/info/emergencies</w:t>
              </w:r>
            </w:hyperlink>
            <w:r w:rsidRPr="00C22D31">
              <w:rPr>
                <w:rFonts w:ascii="Arial" w:hAnsi="Arial" w:cs="Arial"/>
                <w:i/>
                <w:iCs/>
                <w:sz w:val="20"/>
              </w:rPr>
              <w:t>). </w:t>
            </w:r>
          </w:p>
          <w:p w14:paraId="2318E15D" w14:textId="77777777" w:rsidR="000B6CFA" w:rsidRPr="00C22D31" w:rsidRDefault="000B6CFA" w:rsidP="000B6CFA">
            <w:pPr>
              <w:numPr>
                <w:ilvl w:val="0"/>
                <w:numId w:val="5"/>
              </w:numPr>
              <w:rPr>
                <w:rFonts w:ascii="Arial" w:hAnsi="Arial" w:cs="Arial"/>
                <w:sz w:val="20"/>
              </w:rPr>
            </w:pPr>
            <w:r w:rsidRPr="00C22D31">
              <w:rPr>
                <w:rFonts w:ascii="Arial" w:hAnsi="Arial" w:cs="Arial"/>
                <w:i/>
                <w:iCs/>
                <w:sz w:val="20"/>
              </w:rPr>
              <w:t xml:space="preserve">If you need help managing stress anxiety, relationships, etc., please visit </w:t>
            </w:r>
            <w:proofErr w:type="spellStart"/>
            <w:r w:rsidRPr="00C22D31">
              <w:rPr>
                <w:rFonts w:ascii="Arial" w:hAnsi="Arial" w:cs="Arial"/>
                <w:i/>
                <w:iCs/>
                <w:sz w:val="20"/>
              </w:rPr>
              <w:t>BeWellUGA</w:t>
            </w:r>
            <w:proofErr w:type="spellEnd"/>
            <w:r w:rsidRPr="00C22D31">
              <w:rPr>
                <w:rFonts w:ascii="Arial" w:hAnsi="Arial" w:cs="Arial"/>
                <w:i/>
                <w:iCs/>
                <w:sz w:val="20"/>
              </w:rPr>
              <w:t xml:space="preserve"> (</w:t>
            </w:r>
            <w:hyperlink r:id="rId13" w:history="1">
              <w:r w:rsidRPr="00C22D31">
                <w:rPr>
                  <w:rStyle w:val="Hyperlink"/>
                  <w:rFonts w:ascii="Arial" w:hAnsi="Arial" w:cs="Arial"/>
                  <w:i/>
                  <w:iCs/>
                  <w:sz w:val="20"/>
                </w:rPr>
                <w:t>https://www.uhs.uga.edu/bewelluga/bewelluga</w:t>
              </w:r>
            </w:hyperlink>
            <w:r w:rsidRPr="00C22D31">
              <w:rPr>
                <w:rFonts w:ascii="Arial" w:hAnsi="Arial" w:cs="Arial"/>
                <w:i/>
                <w:iCs/>
                <w:sz w:val="20"/>
              </w:rPr>
              <w:t>) for a list of FREE workshops, classes, mentoring, and health coaching led by licensed clinicians and health educators in the University Health Center.</w:t>
            </w:r>
          </w:p>
          <w:p w14:paraId="5DC2F6C2" w14:textId="25195857" w:rsidR="000B6CFA" w:rsidRPr="00FE5457" w:rsidRDefault="000B6CFA" w:rsidP="000B6CFA">
            <w:pPr>
              <w:pStyle w:val="ListParagraph"/>
              <w:numPr>
                <w:ilvl w:val="0"/>
                <w:numId w:val="5"/>
              </w:numPr>
              <w:rPr>
                <w:rFonts w:ascii="Arial" w:hAnsi="Arial" w:cs="Arial"/>
                <w:sz w:val="20"/>
              </w:rPr>
            </w:pPr>
            <w:r w:rsidRPr="00FE5457">
              <w:rPr>
                <w:rFonts w:ascii="Arial" w:hAnsi="Arial" w:cs="Arial"/>
                <w:i/>
                <w:iCs/>
                <w:sz w:val="20"/>
              </w:rPr>
              <w:t>Additional resources can be accessed through the UGA App.</w:t>
            </w:r>
          </w:p>
        </w:tc>
      </w:tr>
      <w:tr w:rsidR="000B6CFA" w:rsidRPr="00C2322F" w14:paraId="5604394C" w14:textId="77777777" w:rsidTr="00D76428">
        <w:tc>
          <w:tcPr>
            <w:tcW w:w="10340" w:type="dxa"/>
            <w:gridSpan w:val="3"/>
            <w:shd w:val="clear" w:color="auto" w:fill="auto"/>
          </w:tcPr>
          <w:p w14:paraId="49A83BA0" w14:textId="77777777" w:rsidR="000B6CFA" w:rsidRPr="00C2322F" w:rsidRDefault="000B6CFA" w:rsidP="000B6CFA">
            <w:pPr>
              <w:rPr>
                <w:rFonts w:ascii="Arial" w:hAnsi="Arial" w:cs="Arial"/>
                <w:sz w:val="20"/>
              </w:rPr>
            </w:pPr>
          </w:p>
        </w:tc>
      </w:tr>
      <w:tr w:rsidR="000B6CFA" w14:paraId="30DCBDAB" w14:textId="77777777" w:rsidTr="00943ED6">
        <w:tc>
          <w:tcPr>
            <w:tcW w:w="10340" w:type="dxa"/>
            <w:gridSpan w:val="3"/>
            <w:shd w:val="clear" w:color="auto" w:fill="auto"/>
          </w:tcPr>
          <w:p w14:paraId="09B31459" w14:textId="77777777" w:rsidR="000B6CFA" w:rsidRDefault="000B6CFA" w:rsidP="000B6CFA">
            <w:pPr>
              <w:jc w:val="center"/>
              <w:rPr>
                <w:rFonts w:ascii="Arial" w:hAnsi="Arial" w:cs="Arial"/>
                <w:b/>
                <w:sz w:val="20"/>
              </w:rPr>
            </w:pPr>
          </w:p>
          <w:p w14:paraId="103DE090" w14:textId="0D762D43" w:rsidR="000B6CFA" w:rsidRDefault="000B6CFA" w:rsidP="000B6CFA">
            <w:pPr>
              <w:jc w:val="center"/>
              <w:rPr>
                <w:rFonts w:ascii="Arial" w:hAnsi="Arial" w:cs="Arial"/>
                <w:b/>
                <w:sz w:val="20"/>
              </w:rPr>
            </w:pPr>
            <w:r>
              <w:rPr>
                <w:rFonts w:ascii="Arial" w:hAnsi="Arial" w:cs="Arial"/>
                <w:b/>
                <w:sz w:val="20"/>
              </w:rPr>
              <w:t>Syllabus as a Contract</w:t>
            </w:r>
          </w:p>
        </w:tc>
      </w:tr>
      <w:tr w:rsidR="000B6CFA" w:rsidRPr="006C6BF2" w14:paraId="04FB348E" w14:textId="77777777" w:rsidTr="00943ED6">
        <w:tc>
          <w:tcPr>
            <w:tcW w:w="10340" w:type="dxa"/>
            <w:gridSpan w:val="3"/>
            <w:shd w:val="clear" w:color="auto" w:fill="auto"/>
          </w:tcPr>
          <w:p w14:paraId="259D2736" w14:textId="77777777" w:rsidR="000B6CFA" w:rsidRDefault="000B6CFA" w:rsidP="000B6CFA">
            <w:pPr>
              <w:rPr>
                <w:rFonts w:ascii="Arial" w:hAnsi="Arial" w:cs="Arial"/>
                <w:sz w:val="20"/>
              </w:rPr>
            </w:pPr>
            <w:r>
              <w:rPr>
                <w:rFonts w:ascii="Arial" w:hAnsi="Arial" w:cs="Arial"/>
                <w:sz w:val="20"/>
              </w:rPr>
              <w:t>This syllabus is a contract between the professor and the individual student. Every student in this class receives an identical syllabus; therefore, every student in this class will be taught and evaluated in the same manner. This syllabus is unique to this class; therefore, the students in this class may not be taught and evaluated as students in other sections of this class, past or present, even if taught by the same professor.</w:t>
            </w:r>
          </w:p>
          <w:p w14:paraId="1F651C4B" w14:textId="51182054" w:rsidR="004A2046" w:rsidRPr="006C6BF2" w:rsidRDefault="004A2046" w:rsidP="000B6CFA">
            <w:pPr>
              <w:rPr>
                <w:rFonts w:ascii="Arial" w:hAnsi="Arial" w:cs="Arial"/>
                <w:sz w:val="20"/>
              </w:rPr>
            </w:pPr>
          </w:p>
        </w:tc>
      </w:tr>
      <w:tr w:rsidR="000B6CFA" w14:paraId="29B1385C" w14:textId="77777777" w:rsidTr="00943ED6">
        <w:tc>
          <w:tcPr>
            <w:tcW w:w="10340" w:type="dxa"/>
            <w:gridSpan w:val="3"/>
            <w:shd w:val="clear" w:color="auto" w:fill="auto"/>
          </w:tcPr>
          <w:p w14:paraId="341BCDC1" w14:textId="77777777" w:rsidR="000B6CFA" w:rsidRDefault="000B6CFA" w:rsidP="000B6CFA">
            <w:pPr>
              <w:jc w:val="center"/>
              <w:rPr>
                <w:rFonts w:ascii="Arial" w:hAnsi="Arial" w:cs="Arial"/>
                <w:b/>
                <w:sz w:val="20"/>
              </w:rPr>
            </w:pPr>
          </w:p>
        </w:tc>
      </w:tr>
      <w:tr w:rsidR="000B6CFA" w:rsidRPr="00B0295F" w14:paraId="4150B813" w14:textId="77777777" w:rsidTr="00943ED6">
        <w:tc>
          <w:tcPr>
            <w:tcW w:w="10340" w:type="dxa"/>
            <w:gridSpan w:val="3"/>
            <w:shd w:val="clear" w:color="auto" w:fill="auto"/>
          </w:tcPr>
          <w:p w14:paraId="0ECBF3B2" w14:textId="77777777" w:rsidR="000B6CFA" w:rsidRPr="00B0295F" w:rsidRDefault="000B6CFA" w:rsidP="000B6CFA">
            <w:pPr>
              <w:jc w:val="center"/>
              <w:rPr>
                <w:rFonts w:ascii="Arial" w:hAnsi="Arial" w:cs="Arial"/>
                <w:b/>
                <w:sz w:val="20"/>
              </w:rPr>
            </w:pPr>
            <w:r>
              <w:rPr>
                <w:rFonts w:ascii="Arial" w:hAnsi="Arial" w:cs="Arial"/>
                <w:b/>
                <w:sz w:val="20"/>
              </w:rPr>
              <w:t>A Word of Thanks</w:t>
            </w:r>
          </w:p>
        </w:tc>
      </w:tr>
      <w:tr w:rsidR="000B6CFA" w:rsidRPr="00B0295F" w14:paraId="16EA60A2" w14:textId="77777777" w:rsidTr="00943ED6">
        <w:tc>
          <w:tcPr>
            <w:tcW w:w="10340" w:type="dxa"/>
            <w:gridSpan w:val="3"/>
            <w:shd w:val="clear" w:color="auto" w:fill="auto"/>
          </w:tcPr>
          <w:p w14:paraId="50B28486" w14:textId="33C39D02" w:rsidR="000B6CFA" w:rsidRDefault="000B6CFA" w:rsidP="000B6CFA">
            <w:pPr>
              <w:rPr>
                <w:rFonts w:ascii="Arial" w:hAnsi="Arial" w:cs="Arial"/>
                <w:sz w:val="20"/>
              </w:rPr>
            </w:pPr>
            <w:r>
              <w:rPr>
                <w:rFonts w:ascii="Arial" w:hAnsi="Arial" w:cs="Arial"/>
                <w:sz w:val="20"/>
              </w:rPr>
              <w:t xml:space="preserve">Teaching is a difficult task, and even the creation of a course syllabus is difficult. I appreciate the help of </w:t>
            </w:r>
            <w:proofErr w:type="gramStart"/>
            <w:r>
              <w:rPr>
                <w:rFonts w:ascii="Arial" w:hAnsi="Arial" w:cs="Arial"/>
                <w:sz w:val="20"/>
              </w:rPr>
              <w:t>all of</w:t>
            </w:r>
            <w:proofErr w:type="gramEnd"/>
            <w:r>
              <w:rPr>
                <w:rFonts w:ascii="Arial" w:hAnsi="Arial" w:cs="Arial"/>
                <w:sz w:val="20"/>
              </w:rPr>
              <w:t xml:space="preserve"> my colleagues who have helped me along the way: Joseph Ura, John Robertson, Nicholas Conway, Todd Curry, Grier Stephenson, and Teena Wilhelm. I am also grateful to the students of previous courses whose feedback has helped me improve this syllabus.</w:t>
            </w:r>
          </w:p>
          <w:p w14:paraId="6B92D76D" w14:textId="77777777" w:rsidR="000B6CFA" w:rsidRDefault="000B6CFA" w:rsidP="000B6CFA">
            <w:pPr>
              <w:rPr>
                <w:rFonts w:ascii="Arial" w:hAnsi="Arial" w:cs="Arial"/>
                <w:sz w:val="20"/>
              </w:rPr>
            </w:pPr>
          </w:p>
          <w:p w14:paraId="7B5F6D20" w14:textId="418326FD" w:rsidR="000B6CFA" w:rsidRPr="00B0295F" w:rsidRDefault="000B6CFA" w:rsidP="000B6CFA">
            <w:pPr>
              <w:rPr>
                <w:rFonts w:ascii="Arial" w:hAnsi="Arial" w:cs="Arial"/>
                <w:sz w:val="20"/>
              </w:rPr>
            </w:pPr>
            <w:proofErr w:type="gramStart"/>
            <w:r>
              <w:rPr>
                <w:rFonts w:ascii="Arial" w:hAnsi="Arial" w:cs="Arial"/>
                <w:sz w:val="20"/>
              </w:rPr>
              <w:t>That being said, this</w:t>
            </w:r>
            <w:proofErr w:type="gramEnd"/>
            <w:r>
              <w:rPr>
                <w:rFonts w:ascii="Arial" w:hAnsi="Arial" w:cs="Arial"/>
                <w:sz w:val="20"/>
              </w:rPr>
              <w:t xml:space="preserve"> syllabus and the course materials referenced in it </w:t>
            </w:r>
            <w:proofErr w:type="gramStart"/>
            <w:r>
              <w:rPr>
                <w:rFonts w:ascii="Arial" w:hAnsi="Arial" w:cs="Arial"/>
                <w:sz w:val="20"/>
              </w:rPr>
              <w:t>is</w:t>
            </w:r>
            <w:proofErr w:type="gramEnd"/>
            <w:r>
              <w:rPr>
                <w:rFonts w:ascii="Arial" w:hAnsi="Arial" w:cs="Arial"/>
                <w:sz w:val="20"/>
              </w:rPr>
              <w:t xml:space="preserve"> the intellectual property of the instructor and subject to copyright law. Do not reproduce any course materials without explicit written permission. This includes lecture material; all recordings are prohibited.</w:t>
            </w:r>
          </w:p>
        </w:tc>
      </w:tr>
      <w:tr w:rsidR="000B6CFA" w:rsidRPr="00C2322F" w14:paraId="1F15F153" w14:textId="77777777" w:rsidTr="00D76428">
        <w:tc>
          <w:tcPr>
            <w:tcW w:w="10340" w:type="dxa"/>
            <w:gridSpan w:val="3"/>
            <w:shd w:val="clear" w:color="auto" w:fill="auto"/>
          </w:tcPr>
          <w:p w14:paraId="3889F201" w14:textId="77777777" w:rsidR="000B6CFA" w:rsidRDefault="000B6CFA" w:rsidP="000B6CFA">
            <w:pPr>
              <w:jc w:val="center"/>
              <w:rPr>
                <w:rFonts w:ascii="Arial" w:hAnsi="Arial" w:cs="Arial"/>
                <w:b/>
                <w:sz w:val="20"/>
              </w:rPr>
            </w:pPr>
          </w:p>
        </w:tc>
      </w:tr>
    </w:tbl>
    <w:p w14:paraId="27D7B247" w14:textId="77777777" w:rsidR="00D6678E" w:rsidRDefault="00D6678E"/>
    <w:p w14:paraId="18DF1F51" w14:textId="77777777" w:rsidR="00D6678E" w:rsidRDefault="00D6678E">
      <w:r>
        <w:br w:type="page"/>
      </w:r>
    </w:p>
    <w:tbl>
      <w:tblPr>
        <w:tblW w:w="10340" w:type="dxa"/>
        <w:tblLayout w:type="fixed"/>
        <w:tblLook w:val="00A0" w:firstRow="1" w:lastRow="0" w:firstColumn="1" w:lastColumn="0" w:noHBand="0" w:noVBand="0"/>
      </w:tblPr>
      <w:tblGrid>
        <w:gridCol w:w="10340"/>
      </w:tblGrid>
      <w:tr w:rsidR="006339E2" w:rsidRPr="00C2322F" w14:paraId="7DEECB41" w14:textId="77777777" w:rsidTr="00D76428">
        <w:tc>
          <w:tcPr>
            <w:tcW w:w="10340" w:type="dxa"/>
            <w:shd w:val="clear" w:color="auto" w:fill="auto"/>
          </w:tcPr>
          <w:p w14:paraId="073D2AF7" w14:textId="77777777" w:rsidR="006339E2" w:rsidRDefault="006339E2" w:rsidP="006339E2">
            <w:pPr>
              <w:jc w:val="center"/>
              <w:rPr>
                <w:rFonts w:ascii="Arial" w:hAnsi="Arial" w:cs="Arial"/>
                <w:b/>
                <w:sz w:val="20"/>
              </w:rPr>
            </w:pPr>
            <w:r>
              <w:rPr>
                <w:rFonts w:ascii="Arial" w:hAnsi="Arial" w:cs="Arial"/>
                <w:b/>
                <w:sz w:val="20"/>
              </w:rPr>
              <w:lastRenderedPageBreak/>
              <w:t>Expected Course Calendar</w:t>
            </w:r>
          </w:p>
          <w:p w14:paraId="08A35B36" w14:textId="50A5F5C2" w:rsidR="006339E2" w:rsidRPr="00C2322F" w:rsidRDefault="006339E2" w:rsidP="006339E2">
            <w:pPr>
              <w:jc w:val="center"/>
              <w:rPr>
                <w:rFonts w:ascii="Arial" w:hAnsi="Arial" w:cs="Arial"/>
                <w:sz w:val="20"/>
              </w:rPr>
            </w:pPr>
            <w:r>
              <w:rPr>
                <w:rFonts w:ascii="Arial" w:hAnsi="Arial" w:cs="Arial"/>
                <w:bCs/>
                <w:sz w:val="20"/>
              </w:rPr>
              <w:t>Th</w:t>
            </w:r>
            <w:r w:rsidRPr="00FF46CD">
              <w:rPr>
                <w:rFonts w:ascii="Arial" w:hAnsi="Arial" w:cs="Arial"/>
                <w:bCs/>
                <w:sz w:val="20"/>
              </w:rPr>
              <w:t>e syllabus is a general plan for the course; deviations announced to the</w:t>
            </w:r>
            <w:r>
              <w:rPr>
                <w:rFonts w:ascii="Arial" w:hAnsi="Arial" w:cs="Arial"/>
                <w:bCs/>
                <w:sz w:val="20"/>
              </w:rPr>
              <w:t xml:space="preserve"> </w:t>
            </w:r>
            <w:r w:rsidRPr="00FF46CD">
              <w:rPr>
                <w:rFonts w:ascii="Arial" w:hAnsi="Arial" w:cs="Arial"/>
                <w:bCs/>
                <w:sz w:val="20"/>
              </w:rPr>
              <w:t>class by the instructor may be required</w:t>
            </w:r>
            <w:r>
              <w:rPr>
                <w:rFonts w:ascii="Arial" w:hAnsi="Arial" w:cs="Arial"/>
                <w:bCs/>
                <w:sz w:val="20"/>
              </w:rPr>
              <w:t>.</w:t>
            </w:r>
          </w:p>
        </w:tc>
      </w:tr>
      <w:tr w:rsidR="00B0295F" w:rsidRPr="00C2322F" w14:paraId="72D39B5D" w14:textId="77777777" w:rsidTr="00D76428">
        <w:tc>
          <w:tcPr>
            <w:tcW w:w="10340" w:type="dxa"/>
            <w:shd w:val="clear" w:color="auto" w:fill="auto"/>
          </w:tcPr>
          <w:p w14:paraId="4CF875FF" w14:textId="77777777" w:rsidR="00B0295F" w:rsidRPr="00C2322F" w:rsidRDefault="00B0295F" w:rsidP="00884395">
            <w:pPr>
              <w:rPr>
                <w:rFonts w:ascii="Arial" w:hAnsi="Arial" w:cs="Arial"/>
                <w:sz w:val="20"/>
              </w:rPr>
            </w:pPr>
          </w:p>
        </w:tc>
      </w:tr>
      <w:tr w:rsidR="00884395" w:rsidRPr="00C2322F" w14:paraId="40DC6440" w14:textId="77777777" w:rsidTr="00D76428">
        <w:tc>
          <w:tcPr>
            <w:tcW w:w="10340" w:type="dxa"/>
            <w:shd w:val="clear" w:color="auto" w:fill="auto"/>
          </w:tcPr>
          <w:p w14:paraId="3AFC35EC" w14:textId="084B15C2" w:rsidR="00B0295F" w:rsidRPr="00A16AB6" w:rsidRDefault="00B0295F" w:rsidP="00B0295F">
            <w:pPr>
              <w:rPr>
                <w:rFonts w:ascii="Arial" w:hAnsi="Arial" w:cs="Arial"/>
                <w:b/>
                <w:sz w:val="20"/>
              </w:rPr>
            </w:pPr>
            <w:r w:rsidRPr="00A16AB6">
              <w:rPr>
                <w:rFonts w:ascii="Arial" w:hAnsi="Arial" w:cs="Arial"/>
                <w:b/>
                <w:sz w:val="20"/>
              </w:rPr>
              <w:t xml:space="preserve">Week </w:t>
            </w:r>
            <w:r w:rsidR="00406347">
              <w:rPr>
                <w:rFonts w:ascii="Arial" w:hAnsi="Arial" w:cs="Arial"/>
                <w:b/>
                <w:sz w:val="20"/>
              </w:rPr>
              <w:t>1</w:t>
            </w:r>
            <w:r w:rsidRPr="00A16AB6">
              <w:rPr>
                <w:rFonts w:ascii="Arial" w:hAnsi="Arial" w:cs="Arial"/>
                <w:b/>
                <w:sz w:val="20"/>
              </w:rPr>
              <w:t>:</w:t>
            </w:r>
            <w:r>
              <w:rPr>
                <w:rFonts w:ascii="Arial" w:hAnsi="Arial" w:cs="Arial"/>
                <w:b/>
                <w:sz w:val="20"/>
              </w:rPr>
              <w:t xml:space="preserve"> Basics of Constitutional Law</w:t>
            </w:r>
            <w:r w:rsidR="002F51A2">
              <w:rPr>
                <w:rFonts w:ascii="Arial" w:hAnsi="Arial" w:cs="Arial"/>
                <w:b/>
                <w:sz w:val="20"/>
              </w:rPr>
              <w:t xml:space="preserve"> – Chapter 1</w:t>
            </w:r>
          </w:p>
          <w:p w14:paraId="30E37D7E" w14:textId="4BB3F1EC" w:rsidR="005565CB" w:rsidRPr="00A16AB6" w:rsidRDefault="00B0295F" w:rsidP="005565CB">
            <w:pPr>
              <w:rPr>
                <w:rFonts w:ascii="Arial" w:hAnsi="Arial" w:cs="Arial"/>
                <w:b/>
                <w:sz w:val="20"/>
              </w:rPr>
            </w:pPr>
            <w:r>
              <w:rPr>
                <w:rFonts w:ascii="Arial" w:hAnsi="Arial" w:cs="Arial"/>
                <w:sz w:val="20"/>
              </w:rPr>
              <w:br/>
            </w:r>
            <w:r w:rsidR="005565CB" w:rsidRPr="00A16AB6">
              <w:rPr>
                <w:rFonts w:ascii="Arial" w:hAnsi="Arial" w:cs="Arial"/>
                <w:b/>
                <w:sz w:val="20"/>
              </w:rPr>
              <w:t xml:space="preserve">Week </w:t>
            </w:r>
            <w:r w:rsidR="00406347">
              <w:rPr>
                <w:rFonts w:ascii="Arial" w:hAnsi="Arial" w:cs="Arial"/>
                <w:b/>
                <w:sz w:val="20"/>
              </w:rPr>
              <w:t>2</w:t>
            </w:r>
            <w:r w:rsidR="005565CB" w:rsidRPr="00A16AB6">
              <w:rPr>
                <w:rFonts w:ascii="Arial" w:hAnsi="Arial" w:cs="Arial"/>
                <w:b/>
                <w:sz w:val="20"/>
              </w:rPr>
              <w:t xml:space="preserve">: Judicial Review and </w:t>
            </w:r>
            <w:proofErr w:type="spellStart"/>
            <w:r w:rsidR="002457B1">
              <w:rPr>
                <w:rFonts w:ascii="Arial" w:hAnsi="Arial" w:cs="Arial"/>
                <w:b/>
                <w:sz w:val="20"/>
              </w:rPr>
              <w:t>Justicability</w:t>
            </w:r>
            <w:proofErr w:type="spellEnd"/>
            <w:r w:rsidR="002F51A2">
              <w:rPr>
                <w:rFonts w:ascii="Arial" w:hAnsi="Arial" w:cs="Arial"/>
                <w:b/>
                <w:sz w:val="20"/>
              </w:rPr>
              <w:t xml:space="preserve"> – Chapter 2</w:t>
            </w:r>
            <w:r w:rsidR="0021589C">
              <w:rPr>
                <w:rFonts w:ascii="Arial" w:hAnsi="Arial" w:cs="Arial"/>
                <w:b/>
                <w:sz w:val="20"/>
              </w:rPr>
              <w:t xml:space="preserve"> (</w:t>
            </w:r>
            <w:r w:rsidR="004F51F1">
              <w:rPr>
                <w:rFonts w:ascii="Arial" w:hAnsi="Arial" w:cs="Arial"/>
                <w:b/>
                <w:sz w:val="20"/>
              </w:rPr>
              <w:t>6</w:t>
            </w:r>
            <w:r w:rsidR="0021589C">
              <w:rPr>
                <w:rFonts w:ascii="Arial" w:hAnsi="Arial" w:cs="Arial"/>
                <w:b/>
                <w:sz w:val="20"/>
              </w:rPr>
              <w:t>)</w:t>
            </w:r>
          </w:p>
          <w:p w14:paraId="40541ABF" w14:textId="479F43F1" w:rsidR="005565CB" w:rsidRDefault="005565CB" w:rsidP="005565CB">
            <w:pPr>
              <w:rPr>
                <w:rFonts w:ascii="Arial" w:hAnsi="Arial" w:cs="Arial"/>
                <w:i/>
                <w:sz w:val="20"/>
              </w:rPr>
            </w:pPr>
            <w:r>
              <w:rPr>
                <w:rFonts w:ascii="Arial" w:hAnsi="Arial" w:cs="Arial"/>
                <w:sz w:val="20"/>
              </w:rPr>
              <w:t xml:space="preserve">Cases: </w:t>
            </w:r>
            <w:r w:rsidR="002457B1" w:rsidRPr="002457B1">
              <w:rPr>
                <w:rFonts w:ascii="Arial" w:hAnsi="Arial" w:cs="Arial"/>
                <w:i/>
                <w:sz w:val="20"/>
              </w:rPr>
              <w:t xml:space="preserve">Marbury v Madison; Martin v Hunter’s Lessee; </w:t>
            </w:r>
            <w:proofErr w:type="spellStart"/>
            <w:r w:rsidR="00A73377">
              <w:rPr>
                <w:rFonts w:ascii="Arial" w:hAnsi="Arial" w:cs="Arial"/>
                <w:i/>
                <w:sz w:val="20"/>
              </w:rPr>
              <w:t>Flast</w:t>
            </w:r>
            <w:proofErr w:type="spellEnd"/>
            <w:r w:rsidR="00A73377">
              <w:rPr>
                <w:rFonts w:ascii="Arial" w:hAnsi="Arial" w:cs="Arial"/>
                <w:i/>
                <w:sz w:val="20"/>
              </w:rPr>
              <w:t xml:space="preserve"> v. Cohen</w:t>
            </w:r>
            <w:r w:rsidR="002457B1" w:rsidRPr="002457B1">
              <w:rPr>
                <w:rFonts w:ascii="Arial" w:hAnsi="Arial" w:cs="Arial"/>
                <w:i/>
                <w:sz w:val="20"/>
              </w:rPr>
              <w:t xml:space="preserve">; Baker v. Carr; </w:t>
            </w:r>
            <w:proofErr w:type="spellStart"/>
            <w:r w:rsidR="002457B1" w:rsidRPr="002457B1">
              <w:rPr>
                <w:rFonts w:ascii="Arial" w:hAnsi="Arial" w:cs="Arial"/>
                <w:i/>
                <w:sz w:val="20"/>
              </w:rPr>
              <w:t>DeFunis</w:t>
            </w:r>
            <w:proofErr w:type="spellEnd"/>
            <w:r w:rsidR="002457B1" w:rsidRPr="002457B1">
              <w:rPr>
                <w:rFonts w:ascii="Arial" w:hAnsi="Arial" w:cs="Arial"/>
                <w:i/>
                <w:sz w:val="20"/>
              </w:rPr>
              <w:t xml:space="preserve"> v. Odegaard</w:t>
            </w:r>
            <w:r w:rsidR="00D618E4">
              <w:rPr>
                <w:rFonts w:ascii="Arial" w:hAnsi="Arial" w:cs="Arial"/>
                <w:i/>
                <w:sz w:val="20"/>
              </w:rPr>
              <w:t xml:space="preserve">; </w:t>
            </w:r>
            <w:bookmarkStart w:id="0" w:name="OLE_LINK1"/>
            <w:r w:rsidR="00D618E4" w:rsidRPr="002457B1">
              <w:rPr>
                <w:rFonts w:ascii="Arial" w:hAnsi="Arial" w:cs="Arial"/>
                <w:i/>
                <w:sz w:val="20"/>
              </w:rPr>
              <w:t xml:space="preserve">Ex </w:t>
            </w:r>
            <w:proofErr w:type="spellStart"/>
            <w:r w:rsidR="00D618E4" w:rsidRPr="002457B1">
              <w:rPr>
                <w:rFonts w:ascii="Arial" w:hAnsi="Arial" w:cs="Arial"/>
                <w:i/>
                <w:sz w:val="20"/>
              </w:rPr>
              <w:t>Parte</w:t>
            </w:r>
            <w:proofErr w:type="spellEnd"/>
            <w:r w:rsidR="00D618E4" w:rsidRPr="002457B1">
              <w:rPr>
                <w:rFonts w:ascii="Arial" w:hAnsi="Arial" w:cs="Arial"/>
                <w:i/>
                <w:sz w:val="20"/>
              </w:rPr>
              <w:t xml:space="preserve"> McCardle</w:t>
            </w:r>
          </w:p>
          <w:p w14:paraId="6C0832BC" w14:textId="77777777" w:rsidR="002457B1" w:rsidRDefault="002457B1" w:rsidP="005565CB">
            <w:pPr>
              <w:rPr>
                <w:rFonts w:ascii="Arial" w:hAnsi="Arial" w:cs="Arial"/>
                <w:sz w:val="20"/>
              </w:rPr>
            </w:pPr>
          </w:p>
          <w:p w14:paraId="7592F410" w14:textId="3A8D7E04" w:rsidR="005565CB" w:rsidRDefault="005565CB" w:rsidP="005565CB">
            <w:pPr>
              <w:rPr>
                <w:rFonts w:ascii="Arial" w:hAnsi="Arial" w:cs="Arial"/>
                <w:b/>
                <w:sz w:val="20"/>
              </w:rPr>
            </w:pPr>
            <w:r>
              <w:rPr>
                <w:rFonts w:ascii="Arial" w:hAnsi="Arial" w:cs="Arial"/>
                <w:b/>
                <w:sz w:val="20"/>
              </w:rPr>
              <w:t xml:space="preserve">Week </w:t>
            </w:r>
            <w:r w:rsidR="00406347">
              <w:rPr>
                <w:rFonts w:ascii="Arial" w:hAnsi="Arial" w:cs="Arial"/>
                <w:b/>
                <w:sz w:val="20"/>
              </w:rPr>
              <w:t>3</w:t>
            </w:r>
            <w:r w:rsidRPr="00CB762A">
              <w:rPr>
                <w:rFonts w:ascii="Arial" w:hAnsi="Arial" w:cs="Arial"/>
                <w:b/>
                <w:sz w:val="20"/>
              </w:rPr>
              <w:t>:</w:t>
            </w:r>
            <w:r>
              <w:rPr>
                <w:rFonts w:ascii="Arial" w:hAnsi="Arial" w:cs="Arial"/>
                <w:b/>
                <w:sz w:val="20"/>
              </w:rPr>
              <w:t xml:space="preserve"> </w:t>
            </w:r>
            <w:r w:rsidR="002457B1">
              <w:rPr>
                <w:rFonts w:ascii="Arial" w:hAnsi="Arial" w:cs="Arial"/>
                <w:b/>
                <w:sz w:val="20"/>
              </w:rPr>
              <w:t>Legislative Powers</w:t>
            </w:r>
            <w:r w:rsidR="002F51A2">
              <w:rPr>
                <w:rFonts w:ascii="Arial" w:hAnsi="Arial" w:cs="Arial"/>
                <w:b/>
                <w:sz w:val="20"/>
              </w:rPr>
              <w:t xml:space="preserve"> – Chapter 3</w:t>
            </w:r>
            <w:r w:rsidR="0021589C">
              <w:rPr>
                <w:rFonts w:ascii="Arial" w:hAnsi="Arial" w:cs="Arial"/>
                <w:b/>
                <w:sz w:val="20"/>
              </w:rPr>
              <w:t xml:space="preserve"> (6)</w:t>
            </w:r>
          </w:p>
          <w:p w14:paraId="21AA127C" w14:textId="6BF4EE98" w:rsidR="005565CB" w:rsidRPr="00CB762A" w:rsidRDefault="005565CB" w:rsidP="005565CB">
            <w:pPr>
              <w:rPr>
                <w:rFonts w:ascii="Arial" w:hAnsi="Arial" w:cs="Arial"/>
                <w:sz w:val="20"/>
              </w:rPr>
            </w:pPr>
            <w:r>
              <w:rPr>
                <w:rFonts w:ascii="Arial" w:hAnsi="Arial" w:cs="Arial"/>
                <w:sz w:val="20"/>
              </w:rPr>
              <w:t xml:space="preserve">Cases: </w:t>
            </w:r>
            <w:r w:rsidR="002457B1" w:rsidRPr="002457B1">
              <w:rPr>
                <w:rFonts w:ascii="Arial" w:hAnsi="Arial" w:cs="Arial"/>
                <w:i/>
                <w:sz w:val="20"/>
              </w:rPr>
              <w:t>Powell v. McCormack; U.S. Term Limits, Inc. v. Thornton; Gravel v. United States; McCulloch v. Maryland; McGrain v. Daugherty; Watkins v. United States</w:t>
            </w:r>
          </w:p>
          <w:p w14:paraId="1493DE84" w14:textId="77777777" w:rsidR="005565CB" w:rsidRDefault="005565CB" w:rsidP="005565CB">
            <w:pPr>
              <w:rPr>
                <w:rFonts w:ascii="Arial" w:hAnsi="Arial" w:cs="Arial"/>
                <w:sz w:val="20"/>
              </w:rPr>
            </w:pPr>
          </w:p>
          <w:p w14:paraId="07CC1BAA" w14:textId="5F83DFE8" w:rsidR="005565CB" w:rsidRDefault="005565CB" w:rsidP="005565CB">
            <w:pPr>
              <w:rPr>
                <w:rFonts w:ascii="Arial" w:hAnsi="Arial" w:cs="Arial"/>
                <w:b/>
                <w:sz w:val="20"/>
              </w:rPr>
            </w:pPr>
            <w:r>
              <w:rPr>
                <w:rFonts w:ascii="Arial" w:hAnsi="Arial" w:cs="Arial"/>
                <w:b/>
                <w:sz w:val="20"/>
              </w:rPr>
              <w:t xml:space="preserve">Week </w:t>
            </w:r>
            <w:r w:rsidR="00406347">
              <w:rPr>
                <w:rFonts w:ascii="Arial" w:hAnsi="Arial" w:cs="Arial"/>
                <w:b/>
                <w:sz w:val="20"/>
              </w:rPr>
              <w:t>4</w:t>
            </w:r>
            <w:r w:rsidRPr="00CB762A">
              <w:rPr>
                <w:rFonts w:ascii="Arial" w:hAnsi="Arial" w:cs="Arial"/>
                <w:b/>
                <w:sz w:val="20"/>
              </w:rPr>
              <w:t>:</w:t>
            </w:r>
            <w:r>
              <w:rPr>
                <w:rFonts w:ascii="Arial" w:hAnsi="Arial" w:cs="Arial"/>
                <w:b/>
                <w:sz w:val="20"/>
              </w:rPr>
              <w:t xml:space="preserve"> </w:t>
            </w:r>
            <w:r w:rsidR="002457B1">
              <w:rPr>
                <w:rFonts w:ascii="Arial" w:hAnsi="Arial" w:cs="Arial"/>
                <w:b/>
                <w:sz w:val="20"/>
              </w:rPr>
              <w:t>Executive Powers</w:t>
            </w:r>
            <w:r w:rsidR="002F51A2">
              <w:rPr>
                <w:rFonts w:ascii="Arial" w:hAnsi="Arial" w:cs="Arial"/>
                <w:b/>
                <w:sz w:val="20"/>
              </w:rPr>
              <w:t xml:space="preserve"> – Chapter 4</w:t>
            </w:r>
            <w:r w:rsidR="0021589C">
              <w:rPr>
                <w:rFonts w:ascii="Arial" w:hAnsi="Arial" w:cs="Arial"/>
                <w:b/>
                <w:sz w:val="20"/>
              </w:rPr>
              <w:t xml:space="preserve"> (7)</w:t>
            </w:r>
          </w:p>
          <w:p w14:paraId="5DE5900B" w14:textId="2199C484" w:rsidR="005565CB" w:rsidRDefault="005565CB" w:rsidP="005565CB">
            <w:pPr>
              <w:rPr>
                <w:rFonts w:ascii="Arial" w:hAnsi="Arial" w:cs="Arial"/>
                <w:i/>
                <w:sz w:val="20"/>
              </w:rPr>
            </w:pPr>
            <w:r>
              <w:rPr>
                <w:rFonts w:ascii="Arial" w:hAnsi="Arial" w:cs="Arial"/>
                <w:sz w:val="20"/>
              </w:rPr>
              <w:t xml:space="preserve">Cases: </w:t>
            </w:r>
            <w:r w:rsidR="002457B1" w:rsidRPr="002457B1">
              <w:rPr>
                <w:rFonts w:ascii="Arial" w:hAnsi="Arial" w:cs="Arial"/>
                <w:i/>
                <w:sz w:val="20"/>
              </w:rPr>
              <w:t xml:space="preserve">In </w:t>
            </w:r>
            <w:r w:rsidR="00D63FAA">
              <w:rPr>
                <w:rFonts w:ascii="Arial" w:hAnsi="Arial" w:cs="Arial"/>
                <w:i/>
                <w:sz w:val="20"/>
              </w:rPr>
              <w:t>r</w:t>
            </w:r>
            <w:r w:rsidR="002457B1" w:rsidRPr="002457B1">
              <w:rPr>
                <w:rFonts w:ascii="Arial" w:hAnsi="Arial" w:cs="Arial"/>
                <w:i/>
                <w:sz w:val="20"/>
              </w:rPr>
              <w:t xml:space="preserve">e Neagle; </w:t>
            </w:r>
            <w:r w:rsidR="002D7DB7">
              <w:rPr>
                <w:rFonts w:ascii="Arial" w:hAnsi="Arial" w:cs="Arial"/>
                <w:i/>
                <w:sz w:val="20"/>
              </w:rPr>
              <w:t>United States v. Curtiss-Wright Export Corp</w:t>
            </w:r>
            <w:r w:rsidR="009E6BBE">
              <w:rPr>
                <w:rFonts w:ascii="Arial" w:hAnsi="Arial" w:cs="Arial"/>
                <w:i/>
                <w:sz w:val="20"/>
              </w:rPr>
              <w:t xml:space="preserve">; </w:t>
            </w:r>
            <w:r w:rsidR="002457B1" w:rsidRPr="002457B1">
              <w:rPr>
                <w:rFonts w:ascii="Arial" w:hAnsi="Arial" w:cs="Arial"/>
                <w:i/>
                <w:sz w:val="20"/>
              </w:rPr>
              <w:t>Mississippi v. Johnson; Nixon v. Fitzgerald; Clinton v. Jones; U.S. v. Nixon</w:t>
            </w:r>
            <w:r w:rsidR="004F51F1">
              <w:rPr>
                <w:rFonts w:ascii="Arial" w:hAnsi="Arial" w:cs="Arial"/>
                <w:i/>
                <w:sz w:val="20"/>
              </w:rPr>
              <w:t>; Trump v. Vance</w:t>
            </w:r>
          </w:p>
          <w:bookmarkEnd w:id="0"/>
          <w:p w14:paraId="7A2A0A77" w14:textId="77777777" w:rsidR="002457B1" w:rsidRDefault="002457B1" w:rsidP="005565CB">
            <w:pPr>
              <w:rPr>
                <w:rFonts w:ascii="Arial" w:hAnsi="Arial" w:cs="Arial"/>
                <w:sz w:val="20"/>
              </w:rPr>
            </w:pPr>
          </w:p>
          <w:p w14:paraId="4AD3E018" w14:textId="4BC7A85A" w:rsidR="005565CB" w:rsidRDefault="005565CB" w:rsidP="005565CB">
            <w:pPr>
              <w:rPr>
                <w:rFonts w:ascii="Arial" w:hAnsi="Arial" w:cs="Arial"/>
                <w:b/>
                <w:sz w:val="20"/>
              </w:rPr>
            </w:pPr>
            <w:r w:rsidRPr="00CB762A">
              <w:rPr>
                <w:rFonts w:ascii="Arial" w:hAnsi="Arial" w:cs="Arial"/>
                <w:b/>
                <w:sz w:val="20"/>
              </w:rPr>
              <w:t>Week</w:t>
            </w:r>
            <w:r>
              <w:rPr>
                <w:rFonts w:ascii="Arial" w:hAnsi="Arial" w:cs="Arial"/>
                <w:b/>
                <w:sz w:val="20"/>
              </w:rPr>
              <w:t xml:space="preserve"> </w:t>
            </w:r>
            <w:r w:rsidR="00406347">
              <w:rPr>
                <w:rFonts w:ascii="Arial" w:hAnsi="Arial" w:cs="Arial"/>
                <w:b/>
                <w:sz w:val="20"/>
              </w:rPr>
              <w:t>5</w:t>
            </w:r>
            <w:r w:rsidRPr="00CB762A">
              <w:rPr>
                <w:rFonts w:ascii="Arial" w:hAnsi="Arial" w:cs="Arial"/>
                <w:b/>
                <w:sz w:val="20"/>
              </w:rPr>
              <w:t xml:space="preserve">: </w:t>
            </w:r>
            <w:r w:rsidR="002457B1">
              <w:rPr>
                <w:rFonts w:ascii="Arial" w:hAnsi="Arial" w:cs="Arial"/>
                <w:b/>
                <w:sz w:val="20"/>
              </w:rPr>
              <w:t>Separation of Powers</w:t>
            </w:r>
            <w:r w:rsidR="002F51A2">
              <w:rPr>
                <w:rFonts w:ascii="Arial" w:hAnsi="Arial" w:cs="Arial"/>
                <w:b/>
                <w:sz w:val="20"/>
              </w:rPr>
              <w:t xml:space="preserve"> – Chapter 5</w:t>
            </w:r>
            <w:r w:rsidR="0021589C">
              <w:rPr>
                <w:rFonts w:ascii="Arial" w:hAnsi="Arial" w:cs="Arial"/>
                <w:b/>
                <w:sz w:val="20"/>
              </w:rPr>
              <w:t xml:space="preserve"> (8)</w:t>
            </w:r>
          </w:p>
          <w:p w14:paraId="2EED7C2C" w14:textId="5F8C2336" w:rsidR="005565CB" w:rsidRDefault="005565CB" w:rsidP="005565CB">
            <w:pPr>
              <w:rPr>
                <w:rFonts w:ascii="Arial" w:hAnsi="Arial" w:cs="Arial"/>
                <w:i/>
                <w:sz w:val="20"/>
              </w:rPr>
            </w:pPr>
            <w:r>
              <w:rPr>
                <w:rFonts w:ascii="Arial" w:hAnsi="Arial" w:cs="Arial"/>
                <w:sz w:val="20"/>
              </w:rPr>
              <w:t xml:space="preserve">Cases: </w:t>
            </w:r>
            <w:r w:rsidR="002457B1" w:rsidRPr="002457B1">
              <w:rPr>
                <w:rFonts w:ascii="Arial" w:hAnsi="Arial" w:cs="Arial"/>
                <w:i/>
                <w:sz w:val="20"/>
              </w:rPr>
              <w:t>Myers v. United States; Humphrey’s Executor v. United States; Morrison v Olson; A.L.A. Schechter Poultry Corp. v. United States; Mistretta v. United States; INS v. Chadha;</w:t>
            </w:r>
            <w:r w:rsidR="000D099A" w:rsidRPr="002457B1">
              <w:rPr>
                <w:rFonts w:ascii="Arial" w:hAnsi="Arial" w:cs="Arial"/>
                <w:i/>
                <w:sz w:val="20"/>
              </w:rPr>
              <w:t xml:space="preserve"> Bowsher v. Synar</w:t>
            </w:r>
            <w:r w:rsidR="000D099A">
              <w:rPr>
                <w:rFonts w:ascii="Arial" w:hAnsi="Arial" w:cs="Arial"/>
                <w:i/>
                <w:sz w:val="20"/>
              </w:rPr>
              <w:t>;</w:t>
            </w:r>
            <w:r w:rsidR="002457B1" w:rsidRPr="002457B1">
              <w:rPr>
                <w:rFonts w:ascii="Arial" w:hAnsi="Arial" w:cs="Arial"/>
                <w:i/>
                <w:sz w:val="20"/>
              </w:rPr>
              <w:t xml:space="preserve"> </w:t>
            </w:r>
            <w:r w:rsidR="000D099A" w:rsidRPr="002457B1">
              <w:rPr>
                <w:rFonts w:ascii="Arial" w:hAnsi="Arial" w:cs="Arial"/>
                <w:i/>
                <w:sz w:val="20"/>
              </w:rPr>
              <w:t>Clinton v. City of New York</w:t>
            </w:r>
          </w:p>
          <w:p w14:paraId="1E2FC408" w14:textId="29803296" w:rsidR="004F51F1" w:rsidRDefault="004F51F1" w:rsidP="005565CB">
            <w:pPr>
              <w:rPr>
                <w:rFonts w:ascii="Arial" w:hAnsi="Arial" w:cs="Arial"/>
                <w:i/>
                <w:sz w:val="20"/>
              </w:rPr>
            </w:pPr>
          </w:p>
          <w:p w14:paraId="3AD93881" w14:textId="1A082D8A" w:rsidR="004F51F1" w:rsidRDefault="004F51F1" w:rsidP="004F51F1">
            <w:pPr>
              <w:rPr>
                <w:rFonts w:ascii="Arial" w:hAnsi="Arial" w:cs="Arial"/>
                <w:b/>
                <w:sz w:val="20"/>
              </w:rPr>
            </w:pPr>
            <w:r>
              <w:rPr>
                <w:rFonts w:ascii="Arial" w:hAnsi="Arial" w:cs="Arial"/>
                <w:b/>
                <w:sz w:val="20"/>
              </w:rPr>
              <w:t xml:space="preserve">Week </w:t>
            </w:r>
            <w:r w:rsidR="00406347">
              <w:rPr>
                <w:rFonts w:ascii="Arial" w:hAnsi="Arial" w:cs="Arial"/>
                <w:b/>
                <w:sz w:val="20"/>
              </w:rPr>
              <w:t>6</w:t>
            </w:r>
            <w:r>
              <w:rPr>
                <w:rFonts w:ascii="Arial" w:hAnsi="Arial" w:cs="Arial"/>
                <w:b/>
                <w:sz w:val="20"/>
              </w:rPr>
              <w:t>: Wartime</w:t>
            </w:r>
            <w:r w:rsidR="009E6BBE">
              <w:rPr>
                <w:rFonts w:ascii="Arial" w:hAnsi="Arial" w:cs="Arial"/>
                <w:b/>
                <w:sz w:val="20"/>
              </w:rPr>
              <w:t xml:space="preserve"> </w:t>
            </w:r>
            <w:r>
              <w:rPr>
                <w:rFonts w:ascii="Arial" w:hAnsi="Arial" w:cs="Arial"/>
                <w:b/>
                <w:sz w:val="20"/>
              </w:rPr>
              <w:t>– Chapter 5 (</w:t>
            </w:r>
            <w:r w:rsidR="00C711DF">
              <w:rPr>
                <w:rFonts w:ascii="Arial" w:hAnsi="Arial" w:cs="Arial"/>
                <w:b/>
                <w:sz w:val="20"/>
              </w:rPr>
              <w:t>7</w:t>
            </w:r>
            <w:r>
              <w:rPr>
                <w:rFonts w:ascii="Arial" w:hAnsi="Arial" w:cs="Arial"/>
                <w:b/>
                <w:sz w:val="20"/>
              </w:rPr>
              <w:t>)</w:t>
            </w:r>
          </w:p>
          <w:p w14:paraId="36216981" w14:textId="642CB559" w:rsidR="004F51F1" w:rsidRPr="004F51F1" w:rsidRDefault="004F51F1" w:rsidP="005565CB">
            <w:pPr>
              <w:rPr>
                <w:rFonts w:ascii="Arial" w:hAnsi="Arial" w:cs="Arial"/>
                <w:bCs/>
                <w:i/>
                <w:iCs/>
                <w:sz w:val="20"/>
              </w:rPr>
            </w:pPr>
            <w:r w:rsidRPr="004E61E2">
              <w:rPr>
                <w:rFonts w:ascii="Arial" w:hAnsi="Arial" w:cs="Arial"/>
                <w:sz w:val="20"/>
              </w:rPr>
              <w:t>Cases</w:t>
            </w:r>
            <w:r>
              <w:rPr>
                <w:rFonts w:ascii="Arial" w:hAnsi="Arial" w:cs="Arial"/>
                <w:sz w:val="20"/>
              </w:rPr>
              <w:t xml:space="preserve">: </w:t>
            </w:r>
            <w:r w:rsidRPr="002F51A2">
              <w:rPr>
                <w:rFonts w:ascii="Arial" w:hAnsi="Arial" w:cs="Arial"/>
                <w:bCs/>
                <w:i/>
                <w:iCs/>
                <w:sz w:val="20"/>
              </w:rPr>
              <w:t xml:space="preserve">The Prize Cases; Ex </w:t>
            </w:r>
            <w:proofErr w:type="spellStart"/>
            <w:r w:rsidRPr="002F51A2">
              <w:rPr>
                <w:rFonts w:ascii="Arial" w:hAnsi="Arial" w:cs="Arial"/>
                <w:bCs/>
                <w:i/>
                <w:iCs/>
                <w:sz w:val="20"/>
              </w:rPr>
              <w:t>parte</w:t>
            </w:r>
            <w:proofErr w:type="spellEnd"/>
            <w:r w:rsidRPr="002F51A2">
              <w:rPr>
                <w:rFonts w:ascii="Arial" w:hAnsi="Arial" w:cs="Arial"/>
                <w:bCs/>
                <w:i/>
                <w:iCs/>
                <w:sz w:val="20"/>
              </w:rPr>
              <w:t xml:space="preserve"> Milligan; Korematsu v. United States; Youngstown Sheet and Tube Co. v. Sawyer; Ex </w:t>
            </w:r>
            <w:proofErr w:type="spellStart"/>
            <w:r w:rsidRPr="002F51A2">
              <w:rPr>
                <w:rFonts w:ascii="Arial" w:hAnsi="Arial" w:cs="Arial"/>
                <w:bCs/>
                <w:i/>
                <w:iCs/>
                <w:sz w:val="20"/>
              </w:rPr>
              <w:t>parte</w:t>
            </w:r>
            <w:proofErr w:type="spellEnd"/>
            <w:r w:rsidRPr="002F51A2">
              <w:rPr>
                <w:rFonts w:ascii="Arial" w:hAnsi="Arial" w:cs="Arial"/>
                <w:bCs/>
                <w:i/>
                <w:iCs/>
                <w:sz w:val="20"/>
              </w:rPr>
              <w:t xml:space="preserve"> Quirin; Hamdi v. Rumsfeld; </w:t>
            </w:r>
            <w:r w:rsidRPr="004F51F1">
              <w:rPr>
                <w:rFonts w:ascii="Arial" w:hAnsi="Arial" w:cs="Arial"/>
                <w:bCs/>
                <w:i/>
                <w:iCs/>
                <w:sz w:val="20"/>
              </w:rPr>
              <w:t xml:space="preserve">Boumediene </w:t>
            </w:r>
            <w:r>
              <w:rPr>
                <w:rFonts w:ascii="Arial" w:hAnsi="Arial" w:cs="Arial"/>
                <w:bCs/>
                <w:i/>
                <w:iCs/>
                <w:sz w:val="20"/>
              </w:rPr>
              <w:t>v. Bush</w:t>
            </w:r>
          </w:p>
          <w:p w14:paraId="5219A514" w14:textId="77777777" w:rsidR="002457B1" w:rsidRDefault="002457B1" w:rsidP="005565CB">
            <w:pPr>
              <w:rPr>
                <w:rFonts w:ascii="Arial" w:hAnsi="Arial" w:cs="Arial"/>
                <w:sz w:val="20"/>
              </w:rPr>
            </w:pPr>
          </w:p>
          <w:p w14:paraId="67C176C7" w14:textId="7B50F62C" w:rsidR="005565CB" w:rsidRPr="008351FE" w:rsidRDefault="005565CB" w:rsidP="005565CB">
            <w:pPr>
              <w:rPr>
                <w:rFonts w:ascii="Arial" w:hAnsi="Arial" w:cs="Arial"/>
                <w:b/>
                <w:sz w:val="20"/>
              </w:rPr>
            </w:pPr>
            <w:r>
              <w:rPr>
                <w:rFonts w:ascii="Arial" w:hAnsi="Arial" w:cs="Arial"/>
                <w:b/>
                <w:sz w:val="20"/>
              </w:rPr>
              <w:t xml:space="preserve">Week </w:t>
            </w:r>
            <w:r w:rsidR="00406347">
              <w:rPr>
                <w:rFonts w:ascii="Arial" w:hAnsi="Arial" w:cs="Arial"/>
                <w:b/>
                <w:sz w:val="20"/>
              </w:rPr>
              <w:t>7</w:t>
            </w:r>
            <w:r w:rsidRPr="008351FE">
              <w:rPr>
                <w:rFonts w:ascii="Arial" w:hAnsi="Arial" w:cs="Arial"/>
                <w:b/>
                <w:sz w:val="20"/>
              </w:rPr>
              <w:t xml:space="preserve"> </w:t>
            </w:r>
            <w:r w:rsidR="002457B1">
              <w:rPr>
                <w:rFonts w:ascii="Arial" w:hAnsi="Arial" w:cs="Arial"/>
                <w:b/>
                <w:sz w:val="20"/>
              </w:rPr>
              <w:t>State Powers</w:t>
            </w:r>
            <w:r w:rsidR="002F51A2">
              <w:rPr>
                <w:rFonts w:ascii="Arial" w:hAnsi="Arial" w:cs="Arial"/>
                <w:b/>
                <w:sz w:val="20"/>
              </w:rPr>
              <w:t xml:space="preserve"> – Chapter 6</w:t>
            </w:r>
            <w:r w:rsidR="0021589C">
              <w:rPr>
                <w:rFonts w:ascii="Arial" w:hAnsi="Arial" w:cs="Arial"/>
                <w:b/>
                <w:sz w:val="20"/>
              </w:rPr>
              <w:t xml:space="preserve"> (7)</w:t>
            </w:r>
          </w:p>
          <w:p w14:paraId="79197CDE" w14:textId="135594E2" w:rsidR="00BE77BB" w:rsidRDefault="005565CB" w:rsidP="005565CB">
            <w:pPr>
              <w:rPr>
                <w:rFonts w:ascii="Arial" w:hAnsi="Arial" w:cs="Arial"/>
                <w:i/>
                <w:sz w:val="20"/>
              </w:rPr>
            </w:pPr>
            <w:r>
              <w:rPr>
                <w:rFonts w:ascii="Arial" w:hAnsi="Arial" w:cs="Arial"/>
                <w:sz w:val="20"/>
              </w:rPr>
              <w:t xml:space="preserve">Cases: </w:t>
            </w:r>
            <w:r w:rsidR="002457B1" w:rsidRPr="002457B1">
              <w:rPr>
                <w:rFonts w:ascii="Arial" w:hAnsi="Arial" w:cs="Arial"/>
                <w:i/>
                <w:sz w:val="20"/>
              </w:rPr>
              <w:t>State of Missouri v. Holland; Crosby v. National Foreign Trade Council; Arizona v. United States; New York v. U.S.; Printz v. U.S.; Jacobson v. Massachusetts; Barnes v. Glen Theater</w:t>
            </w:r>
          </w:p>
          <w:p w14:paraId="553D4B89" w14:textId="77777777" w:rsidR="002457B1" w:rsidRDefault="002457B1" w:rsidP="005565CB">
            <w:pPr>
              <w:rPr>
                <w:rFonts w:ascii="Arial" w:hAnsi="Arial" w:cs="Arial"/>
                <w:i/>
                <w:sz w:val="20"/>
              </w:rPr>
            </w:pPr>
          </w:p>
          <w:p w14:paraId="602E1AD8" w14:textId="09F88B01" w:rsidR="00754925" w:rsidRPr="00754925" w:rsidRDefault="00754925" w:rsidP="005565CB">
            <w:pPr>
              <w:rPr>
                <w:rFonts w:ascii="Arial" w:hAnsi="Arial" w:cs="Arial"/>
                <w:b/>
                <w:bCs/>
                <w:iCs/>
                <w:sz w:val="20"/>
              </w:rPr>
            </w:pPr>
            <w:r>
              <w:rPr>
                <w:rFonts w:ascii="Arial" w:hAnsi="Arial" w:cs="Arial"/>
                <w:b/>
                <w:bCs/>
                <w:iCs/>
                <w:sz w:val="20"/>
              </w:rPr>
              <w:t>Wee</w:t>
            </w:r>
            <w:r w:rsidR="002457B1">
              <w:rPr>
                <w:rFonts w:ascii="Arial" w:hAnsi="Arial" w:cs="Arial"/>
                <w:b/>
                <w:bCs/>
                <w:iCs/>
                <w:sz w:val="20"/>
              </w:rPr>
              <w:t xml:space="preserve">ks </w:t>
            </w:r>
            <w:r w:rsidR="00406347">
              <w:rPr>
                <w:rFonts w:ascii="Arial" w:hAnsi="Arial" w:cs="Arial"/>
                <w:b/>
                <w:bCs/>
                <w:iCs/>
                <w:sz w:val="20"/>
              </w:rPr>
              <w:t>8</w:t>
            </w:r>
            <w:r w:rsidR="002457B1">
              <w:rPr>
                <w:rFonts w:ascii="Arial" w:hAnsi="Arial" w:cs="Arial"/>
                <w:b/>
                <w:bCs/>
                <w:iCs/>
                <w:sz w:val="20"/>
              </w:rPr>
              <w:t xml:space="preserve"> and </w:t>
            </w:r>
            <w:r w:rsidR="00406347">
              <w:rPr>
                <w:rFonts w:ascii="Arial" w:hAnsi="Arial" w:cs="Arial"/>
                <w:b/>
                <w:bCs/>
                <w:iCs/>
                <w:sz w:val="20"/>
              </w:rPr>
              <w:t>9</w:t>
            </w:r>
            <w:r>
              <w:rPr>
                <w:rFonts w:ascii="Arial" w:hAnsi="Arial" w:cs="Arial"/>
                <w:b/>
                <w:bCs/>
                <w:iCs/>
                <w:sz w:val="20"/>
              </w:rPr>
              <w:t xml:space="preserve">: </w:t>
            </w:r>
            <w:r w:rsidR="002457B1">
              <w:rPr>
                <w:rFonts w:ascii="Arial" w:hAnsi="Arial" w:cs="Arial"/>
                <w:b/>
                <w:bCs/>
                <w:iCs/>
                <w:sz w:val="20"/>
              </w:rPr>
              <w:t>Commerce Clause</w:t>
            </w:r>
            <w:r w:rsidR="002F51A2">
              <w:rPr>
                <w:rFonts w:ascii="Arial" w:hAnsi="Arial" w:cs="Arial"/>
                <w:b/>
                <w:bCs/>
                <w:iCs/>
                <w:sz w:val="20"/>
              </w:rPr>
              <w:t xml:space="preserve"> – Chapter 7</w:t>
            </w:r>
            <w:r w:rsidR="0021589C">
              <w:rPr>
                <w:rFonts w:ascii="Arial" w:hAnsi="Arial" w:cs="Arial"/>
                <w:b/>
                <w:bCs/>
                <w:iCs/>
                <w:sz w:val="20"/>
              </w:rPr>
              <w:t xml:space="preserve"> (16)</w:t>
            </w:r>
          </w:p>
          <w:p w14:paraId="2BBCD847" w14:textId="7A1E1722" w:rsidR="005565CB" w:rsidRDefault="00891D43" w:rsidP="005565CB">
            <w:pPr>
              <w:rPr>
                <w:rFonts w:ascii="Arial" w:hAnsi="Arial" w:cs="Arial"/>
                <w:i/>
                <w:sz w:val="20"/>
              </w:rPr>
            </w:pPr>
            <w:r>
              <w:rPr>
                <w:rFonts w:ascii="Arial" w:hAnsi="Arial" w:cs="Arial"/>
                <w:iCs/>
                <w:sz w:val="20"/>
              </w:rPr>
              <w:t xml:space="preserve">Cases: </w:t>
            </w:r>
            <w:r w:rsidR="002457B1" w:rsidRPr="002457B1">
              <w:rPr>
                <w:rFonts w:ascii="Arial" w:hAnsi="Arial" w:cs="Arial"/>
                <w:i/>
                <w:sz w:val="20"/>
              </w:rPr>
              <w:t>Gibbons v. Ogden; United States v. E.C. Knight Co.; Hammer v. Dagenhart; Munn v. Illinois; Wabash, St. Louis &amp; Pacific Railway Co. v. Illinois; Carter v Carter Coal Company; National Labor Relations Board v. Jones &amp; Laughlin Steel Corporation; United States v. Darby Lumber; Wickard v. Filburn; Heart of Atlanta Motel, Inc.</w:t>
            </w:r>
            <w:r w:rsidR="008D7241">
              <w:rPr>
                <w:rFonts w:ascii="Arial" w:hAnsi="Arial" w:cs="Arial"/>
                <w:i/>
                <w:sz w:val="20"/>
              </w:rPr>
              <w:t xml:space="preserve"> v. United States</w:t>
            </w:r>
            <w:r w:rsidR="002457B1" w:rsidRPr="002457B1">
              <w:rPr>
                <w:rFonts w:ascii="Arial" w:hAnsi="Arial" w:cs="Arial"/>
                <w:i/>
                <w:sz w:val="20"/>
              </w:rPr>
              <w:t>; United States v. Lopez; United States v. Morrison; Gonzales v. Raich; Cooley v. Board of Wardens; Southern Pacific Company v. Arizona; Granholm v. Heald</w:t>
            </w:r>
          </w:p>
          <w:p w14:paraId="38462006" w14:textId="77777777" w:rsidR="005565CB" w:rsidRDefault="005565CB" w:rsidP="005565CB">
            <w:pPr>
              <w:rPr>
                <w:rFonts w:ascii="Arial" w:hAnsi="Arial" w:cs="Arial"/>
                <w:sz w:val="20"/>
              </w:rPr>
            </w:pPr>
          </w:p>
          <w:p w14:paraId="158EA5C0" w14:textId="1619E3E8" w:rsidR="000B68E3" w:rsidRDefault="000B68E3" w:rsidP="000B68E3">
            <w:pPr>
              <w:rPr>
                <w:rFonts w:ascii="Arial" w:hAnsi="Arial" w:cs="Arial"/>
                <w:b/>
                <w:sz w:val="20"/>
              </w:rPr>
            </w:pPr>
            <w:r>
              <w:rPr>
                <w:rFonts w:ascii="Arial" w:hAnsi="Arial" w:cs="Arial"/>
                <w:b/>
                <w:sz w:val="20"/>
              </w:rPr>
              <w:t>Week 10: Taxing and Spending Clause – Chapter 8 (6)</w:t>
            </w:r>
          </w:p>
          <w:p w14:paraId="1C79704C" w14:textId="77777777" w:rsidR="000B68E3" w:rsidRPr="00406347" w:rsidRDefault="000B68E3" w:rsidP="000B68E3">
            <w:pPr>
              <w:rPr>
                <w:rFonts w:ascii="Arial" w:hAnsi="Arial" w:cs="Arial"/>
                <w:bCs/>
                <w:i/>
                <w:iCs/>
                <w:sz w:val="20"/>
              </w:rPr>
            </w:pPr>
            <w:r>
              <w:rPr>
                <w:rFonts w:ascii="Arial" w:hAnsi="Arial" w:cs="Arial"/>
                <w:bCs/>
                <w:sz w:val="20"/>
              </w:rPr>
              <w:t>Cases:</w:t>
            </w:r>
            <w:r>
              <w:t xml:space="preserve"> </w:t>
            </w:r>
            <w:r w:rsidRPr="002457B1">
              <w:rPr>
                <w:rFonts w:ascii="Arial" w:hAnsi="Arial" w:cs="Arial"/>
                <w:bCs/>
                <w:i/>
                <w:iCs/>
                <w:sz w:val="20"/>
              </w:rPr>
              <w:t>Pollack v. Farmers’ Loan &amp; Trust</w:t>
            </w:r>
            <w:r>
              <w:rPr>
                <w:rFonts w:ascii="Arial" w:hAnsi="Arial" w:cs="Arial"/>
                <w:bCs/>
                <w:i/>
                <w:iCs/>
                <w:sz w:val="20"/>
              </w:rPr>
              <w:t xml:space="preserve"> I; </w:t>
            </w:r>
            <w:r w:rsidRPr="00F763D9">
              <w:rPr>
                <w:rFonts w:ascii="Arial" w:hAnsi="Arial" w:cs="Arial"/>
                <w:bCs/>
                <w:i/>
                <w:iCs/>
                <w:sz w:val="20"/>
              </w:rPr>
              <w:t>Pollack v. Farmers’ Loan &amp; Trust I</w:t>
            </w:r>
            <w:r>
              <w:rPr>
                <w:rFonts w:ascii="Arial" w:hAnsi="Arial" w:cs="Arial"/>
                <w:bCs/>
                <w:i/>
                <w:iCs/>
                <w:sz w:val="20"/>
              </w:rPr>
              <w:t>I;</w:t>
            </w:r>
            <w:r w:rsidRPr="002457B1">
              <w:rPr>
                <w:rFonts w:ascii="Arial" w:hAnsi="Arial" w:cs="Arial"/>
                <w:bCs/>
                <w:i/>
                <w:iCs/>
                <w:sz w:val="20"/>
              </w:rPr>
              <w:t xml:space="preserve"> United States v. Butler; Steward Machine Co. v. Davis; South Dakota v. Dole; National Federation of Independent Business v. Sebelius</w:t>
            </w:r>
          </w:p>
          <w:p w14:paraId="1C23478F" w14:textId="77777777" w:rsidR="000B68E3" w:rsidRDefault="000B68E3" w:rsidP="005565CB">
            <w:pPr>
              <w:rPr>
                <w:rFonts w:ascii="Arial" w:hAnsi="Arial" w:cs="Arial"/>
                <w:b/>
                <w:sz w:val="20"/>
              </w:rPr>
            </w:pPr>
          </w:p>
          <w:p w14:paraId="75476111" w14:textId="79D5DA43" w:rsidR="005565CB" w:rsidRDefault="005565CB" w:rsidP="005565CB">
            <w:pPr>
              <w:rPr>
                <w:rFonts w:ascii="Arial" w:hAnsi="Arial" w:cs="Arial"/>
                <w:b/>
                <w:sz w:val="20"/>
              </w:rPr>
            </w:pPr>
            <w:r>
              <w:rPr>
                <w:rFonts w:ascii="Arial" w:hAnsi="Arial" w:cs="Arial"/>
                <w:b/>
                <w:sz w:val="20"/>
              </w:rPr>
              <w:t xml:space="preserve">Week </w:t>
            </w:r>
            <w:r w:rsidR="002F51A2">
              <w:rPr>
                <w:rFonts w:ascii="Arial" w:hAnsi="Arial" w:cs="Arial"/>
                <w:b/>
                <w:sz w:val="20"/>
              </w:rPr>
              <w:t>1</w:t>
            </w:r>
            <w:r w:rsidR="00406347">
              <w:rPr>
                <w:rFonts w:ascii="Arial" w:hAnsi="Arial" w:cs="Arial"/>
                <w:b/>
                <w:sz w:val="20"/>
              </w:rPr>
              <w:t>1</w:t>
            </w:r>
            <w:r w:rsidRPr="008351FE">
              <w:rPr>
                <w:rFonts w:ascii="Arial" w:hAnsi="Arial" w:cs="Arial"/>
                <w:b/>
                <w:sz w:val="20"/>
              </w:rPr>
              <w:t>:</w:t>
            </w:r>
            <w:r>
              <w:rPr>
                <w:rFonts w:ascii="Arial" w:hAnsi="Arial" w:cs="Arial"/>
                <w:b/>
                <w:sz w:val="20"/>
              </w:rPr>
              <w:t xml:space="preserve"> </w:t>
            </w:r>
            <w:r w:rsidR="002F51A2">
              <w:rPr>
                <w:rFonts w:ascii="Arial" w:hAnsi="Arial" w:cs="Arial"/>
                <w:b/>
                <w:sz w:val="20"/>
              </w:rPr>
              <w:t>Takings Clause – Chapter 9</w:t>
            </w:r>
            <w:r w:rsidR="0021589C">
              <w:rPr>
                <w:rFonts w:ascii="Arial" w:hAnsi="Arial" w:cs="Arial"/>
                <w:b/>
                <w:sz w:val="20"/>
              </w:rPr>
              <w:t xml:space="preserve"> (</w:t>
            </w:r>
            <w:r w:rsidR="00406347">
              <w:rPr>
                <w:rFonts w:ascii="Arial" w:hAnsi="Arial" w:cs="Arial"/>
                <w:b/>
                <w:sz w:val="20"/>
              </w:rPr>
              <w:t>7</w:t>
            </w:r>
            <w:r w:rsidR="0021589C">
              <w:rPr>
                <w:rFonts w:ascii="Arial" w:hAnsi="Arial" w:cs="Arial"/>
                <w:b/>
                <w:sz w:val="20"/>
              </w:rPr>
              <w:t>)</w:t>
            </w:r>
          </w:p>
          <w:p w14:paraId="214EFAA3" w14:textId="107CFF4F" w:rsidR="00406347" w:rsidRDefault="005565CB" w:rsidP="005565CB">
            <w:pPr>
              <w:rPr>
                <w:rFonts w:ascii="Arial" w:hAnsi="Arial" w:cs="Arial"/>
                <w:i/>
                <w:sz w:val="20"/>
              </w:rPr>
            </w:pPr>
            <w:r>
              <w:rPr>
                <w:rFonts w:ascii="Arial" w:hAnsi="Arial" w:cs="Arial"/>
                <w:sz w:val="20"/>
              </w:rPr>
              <w:t xml:space="preserve">Cases: </w:t>
            </w:r>
            <w:r w:rsidR="002F51A2" w:rsidRPr="002F51A2">
              <w:rPr>
                <w:rFonts w:ascii="Arial" w:hAnsi="Arial" w:cs="Arial"/>
                <w:i/>
                <w:sz w:val="20"/>
              </w:rPr>
              <w:t xml:space="preserve">United States v. Causby; Penn Central Transportation Company v. City of New York; Nollan v. California Coastal Commission; </w:t>
            </w:r>
            <w:r w:rsidR="00975FAB">
              <w:rPr>
                <w:rFonts w:ascii="Arial" w:hAnsi="Arial" w:cs="Arial"/>
                <w:i/>
                <w:sz w:val="20"/>
              </w:rPr>
              <w:t xml:space="preserve">Lucas v. South Carolina Coastal Council; </w:t>
            </w:r>
            <w:r w:rsidR="002F51A2" w:rsidRPr="002F51A2">
              <w:rPr>
                <w:rFonts w:ascii="Arial" w:hAnsi="Arial" w:cs="Arial"/>
                <w:i/>
                <w:sz w:val="20"/>
              </w:rPr>
              <w:t>Berman v. Parker; Hawaii Housing Authority v. Midkiff; Kelo v. City of New London</w:t>
            </w:r>
          </w:p>
          <w:p w14:paraId="61576C44" w14:textId="012B1BD8" w:rsidR="005565CB" w:rsidRDefault="005565CB" w:rsidP="005565CB">
            <w:pPr>
              <w:rPr>
                <w:rFonts w:ascii="Arial" w:hAnsi="Arial" w:cs="Arial"/>
                <w:iCs/>
                <w:sz w:val="20"/>
              </w:rPr>
            </w:pPr>
          </w:p>
          <w:p w14:paraId="6DD7EE6E" w14:textId="50D9D327" w:rsidR="00A91C65" w:rsidRPr="00A91C65" w:rsidRDefault="00BD0806" w:rsidP="005565CB">
            <w:pPr>
              <w:rPr>
                <w:rFonts w:ascii="Arial" w:hAnsi="Arial" w:cs="Arial"/>
                <w:b/>
                <w:bCs/>
                <w:iCs/>
                <w:sz w:val="20"/>
              </w:rPr>
            </w:pPr>
            <w:r>
              <w:rPr>
                <w:rFonts w:ascii="Arial" w:hAnsi="Arial" w:cs="Arial"/>
                <w:b/>
                <w:bCs/>
                <w:iCs/>
                <w:sz w:val="20"/>
              </w:rPr>
              <w:t>Week 1</w:t>
            </w:r>
            <w:r w:rsidR="00406347">
              <w:rPr>
                <w:rFonts w:ascii="Arial" w:hAnsi="Arial" w:cs="Arial"/>
                <w:b/>
                <w:bCs/>
                <w:iCs/>
                <w:sz w:val="20"/>
              </w:rPr>
              <w:t>2</w:t>
            </w:r>
            <w:r>
              <w:rPr>
                <w:rFonts w:ascii="Arial" w:hAnsi="Arial" w:cs="Arial"/>
                <w:b/>
                <w:bCs/>
                <w:iCs/>
                <w:sz w:val="20"/>
              </w:rPr>
              <w:t xml:space="preserve">: </w:t>
            </w:r>
            <w:r w:rsidR="002F51A2">
              <w:rPr>
                <w:rFonts w:ascii="Arial" w:hAnsi="Arial" w:cs="Arial"/>
                <w:b/>
                <w:bCs/>
                <w:iCs/>
                <w:sz w:val="20"/>
              </w:rPr>
              <w:t>Contracts Clause – Chapter 11</w:t>
            </w:r>
            <w:r w:rsidR="0021589C">
              <w:rPr>
                <w:rFonts w:ascii="Arial" w:hAnsi="Arial" w:cs="Arial"/>
                <w:b/>
                <w:bCs/>
                <w:iCs/>
                <w:sz w:val="20"/>
              </w:rPr>
              <w:t xml:space="preserve"> (7)</w:t>
            </w:r>
          </w:p>
          <w:p w14:paraId="35FAC0E9" w14:textId="0109F501" w:rsidR="00A91C65" w:rsidRPr="00985571" w:rsidRDefault="00891D43" w:rsidP="00A91C65">
            <w:pPr>
              <w:rPr>
                <w:rFonts w:ascii="Arial" w:hAnsi="Arial" w:cs="Arial"/>
                <w:bCs/>
                <w:sz w:val="20"/>
              </w:rPr>
            </w:pPr>
            <w:r>
              <w:rPr>
                <w:rFonts w:ascii="Arial" w:hAnsi="Arial" w:cs="Arial"/>
                <w:bCs/>
                <w:sz w:val="20"/>
              </w:rPr>
              <w:t xml:space="preserve">Cases: </w:t>
            </w:r>
            <w:r w:rsidR="002F51A2" w:rsidRPr="002F51A2">
              <w:rPr>
                <w:rFonts w:ascii="Arial" w:hAnsi="Arial" w:cs="Arial"/>
                <w:bCs/>
                <w:i/>
                <w:iCs/>
                <w:sz w:val="20"/>
              </w:rPr>
              <w:t>Flecther v. Peck; Trustees of Dartmouth College v. Woodward; Proprietors of Charles River Bridge vs. Proprietors of Warren Bridge; Stone v. Mississippi; Home Building and Loan Association v. Blaisdell; United States Trust Company v. New Jersey; Allied Structural Steel vs. Spannaus</w:t>
            </w:r>
          </w:p>
          <w:p w14:paraId="5D08E3DD" w14:textId="77777777" w:rsidR="002F51A2" w:rsidRDefault="002F51A2" w:rsidP="005565CB">
            <w:pPr>
              <w:rPr>
                <w:rFonts w:ascii="Arial" w:hAnsi="Arial" w:cs="Arial"/>
                <w:sz w:val="20"/>
              </w:rPr>
            </w:pPr>
          </w:p>
          <w:p w14:paraId="378DDAD8" w14:textId="71DA7ED5" w:rsidR="005565CB" w:rsidRDefault="005565CB" w:rsidP="005565CB">
            <w:pPr>
              <w:rPr>
                <w:rFonts w:ascii="Arial" w:hAnsi="Arial" w:cs="Arial"/>
                <w:b/>
                <w:sz w:val="20"/>
              </w:rPr>
            </w:pPr>
            <w:r>
              <w:rPr>
                <w:rFonts w:ascii="Arial" w:hAnsi="Arial" w:cs="Arial"/>
                <w:b/>
                <w:sz w:val="20"/>
              </w:rPr>
              <w:t>Week 1</w:t>
            </w:r>
            <w:r w:rsidR="00406347">
              <w:rPr>
                <w:rFonts w:ascii="Arial" w:hAnsi="Arial" w:cs="Arial"/>
                <w:b/>
                <w:sz w:val="20"/>
              </w:rPr>
              <w:t>3</w:t>
            </w:r>
            <w:r w:rsidRPr="008351FE">
              <w:rPr>
                <w:rFonts w:ascii="Arial" w:hAnsi="Arial" w:cs="Arial"/>
                <w:b/>
                <w:sz w:val="20"/>
              </w:rPr>
              <w:t>:</w:t>
            </w:r>
            <w:r>
              <w:rPr>
                <w:rFonts w:ascii="Arial" w:hAnsi="Arial" w:cs="Arial"/>
                <w:b/>
                <w:sz w:val="20"/>
              </w:rPr>
              <w:t xml:space="preserve"> </w:t>
            </w:r>
            <w:r w:rsidR="002F51A2">
              <w:rPr>
                <w:rFonts w:ascii="Arial" w:hAnsi="Arial" w:cs="Arial"/>
                <w:b/>
                <w:sz w:val="20"/>
              </w:rPr>
              <w:t>Miscellaneous Cases</w:t>
            </w:r>
            <w:r w:rsidR="0021589C">
              <w:rPr>
                <w:rFonts w:ascii="Arial" w:hAnsi="Arial" w:cs="Arial"/>
                <w:b/>
                <w:sz w:val="20"/>
              </w:rPr>
              <w:t xml:space="preserve"> (8)</w:t>
            </w:r>
          </w:p>
          <w:p w14:paraId="6BDFF55A" w14:textId="5C85604C" w:rsidR="00891D43" w:rsidRDefault="005565CB" w:rsidP="005565CB">
            <w:pPr>
              <w:rPr>
                <w:rFonts w:ascii="Arial" w:hAnsi="Arial" w:cs="Arial"/>
                <w:i/>
                <w:sz w:val="20"/>
              </w:rPr>
            </w:pPr>
            <w:r>
              <w:rPr>
                <w:rFonts w:ascii="Arial" w:hAnsi="Arial" w:cs="Arial"/>
                <w:sz w:val="20"/>
              </w:rPr>
              <w:t xml:space="preserve">Cases: </w:t>
            </w:r>
            <w:r w:rsidR="009E6BBE">
              <w:rPr>
                <w:rFonts w:ascii="Arial" w:hAnsi="Arial" w:cs="Arial"/>
                <w:i/>
                <w:iCs/>
                <w:sz w:val="20"/>
              </w:rPr>
              <w:t xml:space="preserve">Worcester v. Georgia; </w:t>
            </w:r>
            <w:r w:rsidR="002F51A2" w:rsidRPr="002F51A2">
              <w:rPr>
                <w:rFonts w:ascii="Arial" w:hAnsi="Arial" w:cs="Arial"/>
                <w:i/>
                <w:sz w:val="20"/>
              </w:rPr>
              <w:t xml:space="preserve">United States v. </w:t>
            </w:r>
            <w:proofErr w:type="spellStart"/>
            <w:r w:rsidR="002F51A2" w:rsidRPr="002F51A2">
              <w:rPr>
                <w:rFonts w:ascii="Arial" w:hAnsi="Arial" w:cs="Arial"/>
                <w:i/>
                <w:sz w:val="20"/>
              </w:rPr>
              <w:t>Kagama</w:t>
            </w:r>
            <w:proofErr w:type="spellEnd"/>
            <w:r w:rsidR="002F51A2" w:rsidRPr="002F51A2">
              <w:rPr>
                <w:rFonts w:ascii="Arial" w:hAnsi="Arial" w:cs="Arial"/>
                <w:i/>
                <w:sz w:val="20"/>
              </w:rPr>
              <w:t xml:space="preserve">; United States v. Sioux Nation of Indians; </w:t>
            </w:r>
            <w:r w:rsidR="00A033F1">
              <w:rPr>
                <w:rFonts w:ascii="Arial" w:hAnsi="Arial" w:cs="Arial"/>
                <w:i/>
                <w:sz w:val="20"/>
              </w:rPr>
              <w:t xml:space="preserve">Downes v. Bidwell; Torres v. Puerto Rico; Harris v. Rosario; </w:t>
            </w:r>
            <w:r w:rsidR="002F51A2" w:rsidRPr="002F51A2">
              <w:rPr>
                <w:rFonts w:ascii="Arial" w:hAnsi="Arial" w:cs="Arial"/>
                <w:i/>
                <w:sz w:val="20"/>
              </w:rPr>
              <w:t>Hepburn v. Griswold; Julliard v. Greenman; Texas v White</w:t>
            </w:r>
          </w:p>
          <w:p w14:paraId="2C56AAD5" w14:textId="77777777" w:rsidR="00B0295F" w:rsidRDefault="00B0295F" w:rsidP="00B0295F">
            <w:pPr>
              <w:rPr>
                <w:rFonts w:ascii="Arial" w:hAnsi="Arial" w:cs="Arial"/>
                <w:sz w:val="20"/>
              </w:rPr>
            </w:pPr>
          </w:p>
          <w:p w14:paraId="13E48559" w14:textId="2EBFB85E" w:rsidR="00012A9E" w:rsidRPr="00D868C2" w:rsidRDefault="009E6BBE" w:rsidP="00B0295F">
            <w:pPr>
              <w:rPr>
                <w:rFonts w:ascii="Arial" w:hAnsi="Arial" w:cs="Arial"/>
                <w:b/>
                <w:sz w:val="20"/>
              </w:rPr>
            </w:pPr>
            <w:r>
              <w:rPr>
                <w:rFonts w:ascii="Arial" w:hAnsi="Arial" w:cs="Arial"/>
                <w:b/>
                <w:sz w:val="20"/>
              </w:rPr>
              <w:t>Beyond</w:t>
            </w:r>
            <w:r w:rsidR="00B0295F" w:rsidRPr="008351FE">
              <w:rPr>
                <w:rFonts w:ascii="Arial" w:hAnsi="Arial" w:cs="Arial"/>
                <w:b/>
                <w:sz w:val="20"/>
              </w:rPr>
              <w:t>:</w:t>
            </w:r>
            <w:r w:rsidR="00B0295F">
              <w:rPr>
                <w:rFonts w:ascii="Arial" w:hAnsi="Arial" w:cs="Arial"/>
                <w:b/>
                <w:sz w:val="20"/>
              </w:rPr>
              <w:t xml:space="preserve"> </w:t>
            </w:r>
            <w:r>
              <w:rPr>
                <w:rFonts w:ascii="Arial" w:hAnsi="Arial" w:cs="Arial"/>
                <w:b/>
                <w:sz w:val="20"/>
              </w:rPr>
              <w:t>Useful Topics and Make Up Days</w:t>
            </w:r>
          </w:p>
        </w:tc>
      </w:tr>
    </w:tbl>
    <w:p w14:paraId="2FDA98FD" w14:textId="77777777" w:rsidR="002457B1" w:rsidRDefault="002457B1">
      <w:r>
        <w:br w:type="page"/>
      </w:r>
    </w:p>
    <w:tbl>
      <w:tblPr>
        <w:tblW w:w="10340" w:type="dxa"/>
        <w:tblLayout w:type="fixed"/>
        <w:tblLook w:val="00A0" w:firstRow="1" w:lastRow="0" w:firstColumn="1" w:lastColumn="0" w:noHBand="0" w:noVBand="0"/>
      </w:tblPr>
      <w:tblGrid>
        <w:gridCol w:w="10340"/>
      </w:tblGrid>
      <w:tr w:rsidR="00D6678E" w:rsidRPr="00C2322F" w14:paraId="2612F8EE" w14:textId="77777777" w:rsidTr="00D76428">
        <w:tc>
          <w:tcPr>
            <w:tcW w:w="10340" w:type="dxa"/>
            <w:shd w:val="clear" w:color="auto" w:fill="auto"/>
          </w:tcPr>
          <w:p w14:paraId="6D993330" w14:textId="7F2CB6FA" w:rsidR="00D6678E" w:rsidRDefault="00D6678E" w:rsidP="00B0295F">
            <w:pPr>
              <w:jc w:val="center"/>
              <w:rPr>
                <w:rFonts w:ascii="Arial" w:hAnsi="Arial" w:cs="Arial"/>
                <w:b/>
                <w:sz w:val="20"/>
              </w:rPr>
            </w:pPr>
            <w:r>
              <w:rPr>
                <w:rFonts w:ascii="Arial" w:hAnsi="Arial" w:cs="Arial"/>
                <w:b/>
                <w:sz w:val="20"/>
              </w:rPr>
              <w:lastRenderedPageBreak/>
              <w:t>Case Brief</w:t>
            </w:r>
            <w:r w:rsidR="00956E90">
              <w:rPr>
                <w:rFonts w:ascii="Arial" w:hAnsi="Arial" w:cs="Arial"/>
                <w:b/>
                <w:sz w:val="20"/>
              </w:rPr>
              <w:t xml:space="preserve"> Rubric</w:t>
            </w:r>
          </w:p>
          <w:p w14:paraId="3176E7B8" w14:textId="77777777" w:rsidR="00460AFE" w:rsidRPr="00B47C9D" w:rsidRDefault="00460AFE" w:rsidP="00460AFE">
            <w:pPr>
              <w:rPr>
                <w:rFonts w:ascii="Arial" w:hAnsi="Arial" w:cs="Arial"/>
                <w:bCs/>
                <w:sz w:val="20"/>
              </w:rPr>
            </w:pPr>
            <w:r w:rsidRPr="00B47C9D">
              <w:rPr>
                <w:rFonts w:ascii="Arial" w:hAnsi="Arial" w:cs="Arial"/>
                <w:bCs/>
                <w:i/>
                <w:iCs/>
                <w:sz w:val="20"/>
              </w:rPr>
              <w:t>Overview:</w:t>
            </w:r>
            <w:r>
              <w:rPr>
                <w:rFonts w:ascii="Arial" w:hAnsi="Arial" w:cs="Arial"/>
                <w:bCs/>
                <w:sz w:val="20"/>
              </w:rPr>
              <w:t xml:space="preserve"> A case brief is a short, professional summary of a case, written with the goal of fully informing a reader of the case without needing additional material. Briefing is an essential skill for lawyers and law students. </w:t>
            </w:r>
          </w:p>
          <w:p w14:paraId="294DBB30" w14:textId="77777777" w:rsidR="00D6678E" w:rsidRPr="00D6678E" w:rsidRDefault="00D6678E" w:rsidP="00B0295F">
            <w:pPr>
              <w:jc w:val="center"/>
              <w:rPr>
                <w:rFonts w:ascii="Arial" w:hAnsi="Arial" w:cs="Arial"/>
                <w:b/>
                <w:sz w:val="20"/>
              </w:rPr>
            </w:pPr>
          </w:p>
        </w:tc>
      </w:tr>
      <w:tr w:rsidR="00B0295F" w:rsidRPr="00C2322F" w14:paraId="47CBB4CF" w14:textId="77777777" w:rsidTr="00D76428">
        <w:tc>
          <w:tcPr>
            <w:tcW w:w="10340" w:type="dxa"/>
            <w:shd w:val="clear" w:color="auto" w:fill="auto"/>
          </w:tcPr>
          <w:p w14:paraId="7C10A702" w14:textId="77777777" w:rsidR="00460AFE" w:rsidRPr="00D61AAF" w:rsidRDefault="00460AFE" w:rsidP="00460AFE">
            <w:pPr>
              <w:rPr>
                <w:rFonts w:ascii="Arial" w:hAnsi="Arial" w:cs="Arial"/>
                <w:i/>
                <w:iCs/>
                <w:sz w:val="20"/>
              </w:rPr>
            </w:pPr>
            <w:r w:rsidRPr="00D868C2">
              <w:rPr>
                <w:rFonts w:ascii="Arial" w:hAnsi="Arial" w:cs="Arial"/>
                <w:sz w:val="20"/>
              </w:rPr>
              <w:t xml:space="preserve">1. </w:t>
            </w:r>
            <w:r w:rsidRPr="00D868C2">
              <w:rPr>
                <w:rFonts w:ascii="Arial" w:hAnsi="Arial" w:cs="Arial"/>
                <w:i/>
                <w:sz w:val="20"/>
              </w:rPr>
              <w:t>Name of the case</w:t>
            </w:r>
            <w:r w:rsidRPr="00D868C2">
              <w:rPr>
                <w:rFonts w:ascii="Arial" w:hAnsi="Arial" w:cs="Arial"/>
                <w:sz w:val="20"/>
              </w:rPr>
              <w:t xml:space="preserve">.  Always located at the beginning, the name or title identifies the parties to the case.  The </w:t>
            </w:r>
            <w:r>
              <w:rPr>
                <w:rFonts w:ascii="Arial" w:hAnsi="Arial" w:cs="Arial"/>
                <w:sz w:val="20"/>
              </w:rPr>
              <w:t xml:space="preserve">name </w:t>
            </w:r>
            <w:r w:rsidRPr="00D868C2">
              <w:rPr>
                <w:rFonts w:ascii="Arial" w:hAnsi="Arial" w:cs="Arial"/>
                <w:sz w:val="20"/>
              </w:rPr>
              <w:t>of the person or entity bringing the case to the Supreme Court appears first</w:t>
            </w:r>
            <w:r>
              <w:rPr>
                <w:rFonts w:ascii="Arial" w:hAnsi="Arial" w:cs="Arial"/>
                <w:sz w:val="20"/>
              </w:rPr>
              <w:t>; this party wants the Supreme Court to provide them with relief in some form. The</w:t>
            </w:r>
            <w:r w:rsidRPr="00D868C2">
              <w:rPr>
                <w:rFonts w:ascii="Arial" w:hAnsi="Arial" w:cs="Arial"/>
                <w:sz w:val="20"/>
              </w:rPr>
              <w:t xml:space="preserve"> party being brought to the Supreme Court is listed second.  The “v.” stands for “versus</w:t>
            </w:r>
            <w:r>
              <w:rPr>
                <w:rFonts w:ascii="Arial" w:hAnsi="Arial" w:cs="Arial"/>
                <w:sz w:val="20"/>
              </w:rPr>
              <w:t>.”</w:t>
            </w:r>
          </w:p>
          <w:p w14:paraId="25E4002C" w14:textId="77777777" w:rsidR="00460AFE" w:rsidRPr="00D868C2" w:rsidRDefault="00460AFE" w:rsidP="00460AFE">
            <w:pPr>
              <w:rPr>
                <w:rFonts w:ascii="Arial" w:hAnsi="Arial" w:cs="Arial"/>
                <w:sz w:val="20"/>
              </w:rPr>
            </w:pPr>
          </w:p>
          <w:p w14:paraId="36E768FC" w14:textId="77777777" w:rsidR="00460AFE" w:rsidRDefault="00460AFE" w:rsidP="00460AFE">
            <w:pPr>
              <w:rPr>
                <w:rFonts w:ascii="Arial" w:hAnsi="Arial" w:cs="Arial"/>
                <w:sz w:val="20"/>
              </w:rPr>
            </w:pPr>
            <w:r w:rsidRPr="00D868C2">
              <w:rPr>
                <w:rFonts w:ascii="Arial" w:hAnsi="Arial" w:cs="Arial"/>
                <w:sz w:val="20"/>
              </w:rPr>
              <w:t xml:space="preserve">2. </w:t>
            </w:r>
            <w:r w:rsidRPr="00D868C2">
              <w:rPr>
                <w:rFonts w:ascii="Arial" w:hAnsi="Arial" w:cs="Arial"/>
                <w:i/>
                <w:sz w:val="20"/>
              </w:rPr>
              <w:t>Facts</w:t>
            </w:r>
            <w:r>
              <w:rPr>
                <w:rFonts w:ascii="Arial" w:hAnsi="Arial" w:cs="Arial"/>
                <w:i/>
                <w:sz w:val="20"/>
              </w:rPr>
              <w:t xml:space="preserve"> and Case History</w:t>
            </w:r>
            <w:r w:rsidRPr="00D868C2">
              <w:rPr>
                <w:rFonts w:ascii="Arial" w:hAnsi="Arial" w:cs="Arial"/>
                <w:i/>
                <w:sz w:val="20"/>
              </w:rPr>
              <w:t>.</w:t>
            </w:r>
            <w:r w:rsidRPr="00D868C2">
              <w:rPr>
                <w:rFonts w:ascii="Arial" w:hAnsi="Arial" w:cs="Arial"/>
                <w:sz w:val="20"/>
              </w:rPr>
              <w:t xml:space="preserve">  Cases are real, not hypothetical, controversies between parties.  The issues of a case arise from circumstances or events that have prompted one or both parties to seek redress or </w:t>
            </w:r>
            <w:proofErr w:type="gramStart"/>
            <w:r w:rsidRPr="00D868C2">
              <w:rPr>
                <w:rFonts w:ascii="Arial" w:hAnsi="Arial" w:cs="Arial"/>
                <w:sz w:val="20"/>
              </w:rPr>
              <w:t>resolution</w:t>
            </w:r>
            <w:proofErr w:type="gramEnd"/>
            <w:r w:rsidRPr="00D868C2">
              <w:rPr>
                <w:rFonts w:ascii="Arial" w:hAnsi="Arial" w:cs="Arial"/>
                <w:sz w:val="20"/>
              </w:rPr>
              <w:t xml:space="preserve"> in court.  The facts of a case may or may not be in dispute, but they are always a factor in how cases are decided.</w:t>
            </w:r>
            <w:r>
              <w:rPr>
                <w:rFonts w:ascii="Arial" w:hAnsi="Arial" w:cs="Arial"/>
                <w:sz w:val="20"/>
              </w:rPr>
              <w:t xml:space="preserve"> Each case also has a legal history of how it made it to the Supreme Court, including the court where the case originated and any subsequent courts it was heard before arriving </w:t>
            </w:r>
            <w:proofErr w:type="gramStart"/>
            <w:r>
              <w:rPr>
                <w:rFonts w:ascii="Arial" w:hAnsi="Arial" w:cs="Arial"/>
                <w:sz w:val="20"/>
              </w:rPr>
              <w:t>to</w:t>
            </w:r>
            <w:proofErr w:type="gramEnd"/>
            <w:r>
              <w:rPr>
                <w:rFonts w:ascii="Arial" w:hAnsi="Arial" w:cs="Arial"/>
                <w:sz w:val="20"/>
              </w:rPr>
              <w:t xml:space="preserve"> the Supreme Court.</w:t>
            </w:r>
          </w:p>
          <w:p w14:paraId="66B34C95" w14:textId="77777777" w:rsidR="00460AFE" w:rsidRPr="00D868C2" w:rsidRDefault="00460AFE" w:rsidP="00460AFE">
            <w:pPr>
              <w:rPr>
                <w:rFonts w:ascii="Arial" w:hAnsi="Arial" w:cs="Arial"/>
                <w:sz w:val="20"/>
              </w:rPr>
            </w:pPr>
          </w:p>
          <w:p w14:paraId="078DE373" w14:textId="77777777" w:rsidR="00460AFE" w:rsidRDefault="00460AFE" w:rsidP="00460AFE">
            <w:pPr>
              <w:rPr>
                <w:rFonts w:ascii="Arial" w:hAnsi="Arial" w:cs="Arial"/>
                <w:sz w:val="20"/>
              </w:rPr>
            </w:pPr>
            <w:r w:rsidRPr="00D868C2">
              <w:rPr>
                <w:rFonts w:ascii="Arial" w:hAnsi="Arial" w:cs="Arial"/>
                <w:sz w:val="20"/>
              </w:rPr>
              <w:t xml:space="preserve">3. </w:t>
            </w:r>
            <w:r w:rsidRPr="00D868C2">
              <w:rPr>
                <w:rFonts w:ascii="Arial" w:hAnsi="Arial" w:cs="Arial"/>
                <w:i/>
                <w:sz w:val="20"/>
              </w:rPr>
              <w:t xml:space="preserve">Question(s).  </w:t>
            </w:r>
            <w:r w:rsidRPr="00D868C2">
              <w:rPr>
                <w:rFonts w:ascii="Arial" w:hAnsi="Arial" w:cs="Arial"/>
                <w:sz w:val="20"/>
              </w:rPr>
              <w:t>The</w:t>
            </w:r>
            <w:r>
              <w:rPr>
                <w:rFonts w:ascii="Arial" w:hAnsi="Arial" w:cs="Arial"/>
                <w:sz w:val="20"/>
              </w:rPr>
              <w:t xml:space="preserve"> parties will present multiple arguments as to whether the Court should grant relief to a particular party. These different arguments can be understood as answers to important legal questions that underlie a particular case, similar to the format of the gameshow </w:t>
            </w:r>
            <w:proofErr w:type="gramStart"/>
            <w:r>
              <w:rPr>
                <w:rFonts w:ascii="Arial" w:hAnsi="Arial" w:cs="Arial"/>
                <w:sz w:val="20"/>
              </w:rPr>
              <w:t>Jeopardy!.</w:t>
            </w:r>
            <w:proofErr w:type="gramEnd"/>
            <w:r>
              <w:rPr>
                <w:rFonts w:ascii="Arial" w:hAnsi="Arial" w:cs="Arial"/>
                <w:sz w:val="20"/>
              </w:rPr>
              <w:t xml:space="preserve"> The Supreme Court usually, but not always, states a case’s questions outright. Questions may be procedural – </w:t>
            </w:r>
            <w:proofErr w:type="gramStart"/>
            <w:r>
              <w:rPr>
                <w:rFonts w:ascii="Arial" w:hAnsi="Arial" w:cs="Arial"/>
                <w:sz w:val="20"/>
              </w:rPr>
              <w:t>whether or not</w:t>
            </w:r>
            <w:proofErr w:type="gramEnd"/>
            <w:r>
              <w:rPr>
                <w:rFonts w:ascii="Arial" w:hAnsi="Arial" w:cs="Arial"/>
                <w:sz w:val="20"/>
              </w:rPr>
              <w:t xml:space="preserve"> the Court should hear a case, for example</w:t>
            </w:r>
            <w:r w:rsidRPr="00D868C2">
              <w:rPr>
                <w:rFonts w:ascii="Arial" w:hAnsi="Arial" w:cs="Arial"/>
                <w:sz w:val="20"/>
              </w:rPr>
              <w:t>.</w:t>
            </w:r>
            <w:r>
              <w:rPr>
                <w:rFonts w:ascii="Arial" w:hAnsi="Arial" w:cs="Arial"/>
                <w:sz w:val="20"/>
              </w:rPr>
              <w:t xml:space="preserve"> Questions can also be substantive – whether a particular government action </w:t>
            </w:r>
            <w:proofErr w:type="gramStart"/>
            <w:r>
              <w:rPr>
                <w:rFonts w:ascii="Arial" w:hAnsi="Arial" w:cs="Arial"/>
                <w:sz w:val="20"/>
              </w:rPr>
              <w:t>constitutional</w:t>
            </w:r>
            <w:proofErr w:type="gramEnd"/>
            <w:r>
              <w:rPr>
                <w:rFonts w:ascii="Arial" w:hAnsi="Arial" w:cs="Arial"/>
                <w:sz w:val="20"/>
              </w:rPr>
              <w:t>.</w:t>
            </w:r>
          </w:p>
          <w:p w14:paraId="695B54CB" w14:textId="77777777" w:rsidR="00460AFE" w:rsidRPr="00D868C2" w:rsidRDefault="00460AFE" w:rsidP="00460AFE">
            <w:pPr>
              <w:rPr>
                <w:rFonts w:ascii="Arial" w:hAnsi="Arial" w:cs="Arial"/>
                <w:sz w:val="20"/>
              </w:rPr>
            </w:pPr>
          </w:p>
          <w:p w14:paraId="6FD0DB6A" w14:textId="571C0369" w:rsidR="00460AFE" w:rsidRDefault="00460AFE" w:rsidP="00460AFE">
            <w:pPr>
              <w:rPr>
                <w:rFonts w:ascii="Arial" w:hAnsi="Arial" w:cs="Arial"/>
                <w:sz w:val="20"/>
              </w:rPr>
            </w:pPr>
            <w:r w:rsidRPr="00D868C2">
              <w:rPr>
                <w:rFonts w:ascii="Arial" w:hAnsi="Arial" w:cs="Arial"/>
                <w:sz w:val="20"/>
              </w:rPr>
              <w:t xml:space="preserve">4. </w:t>
            </w:r>
            <w:r w:rsidRPr="00D868C2">
              <w:rPr>
                <w:rFonts w:ascii="Arial" w:hAnsi="Arial" w:cs="Arial"/>
                <w:i/>
                <w:sz w:val="20"/>
              </w:rPr>
              <w:t>Decision.</w:t>
            </w:r>
            <w:r w:rsidRPr="00D868C2">
              <w:rPr>
                <w:rFonts w:ascii="Arial" w:hAnsi="Arial" w:cs="Arial"/>
                <w:sz w:val="20"/>
              </w:rPr>
              <w:t xml:space="preserve">   This is the result </w:t>
            </w:r>
            <w:r>
              <w:rPr>
                <w:rFonts w:ascii="Arial" w:hAnsi="Arial" w:cs="Arial"/>
                <w:sz w:val="20"/>
              </w:rPr>
              <w:t>of the case for the parties involved</w:t>
            </w:r>
            <w:r w:rsidRPr="00D868C2">
              <w:rPr>
                <w:rFonts w:ascii="Arial" w:hAnsi="Arial" w:cs="Arial"/>
                <w:sz w:val="20"/>
              </w:rPr>
              <w:t>.  The Court’s opinion provides a</w:t>
            </w:r>
            <w:r>
              <w:rPr>
                <w:rFonts w:ascii="Arial" w:hAnsi="Arial" w:cs="Arial"/>
                <w:sz w:val="20"/>
              </w:rPr>
              <w:t>n</w:t>
            </w:r>
            <w:r w:rsidRPr="00D868C2">
              <w:rPr>
                <w:rFonts w:ascii="Arial" w:hAnsi="Arial" w:cs="Arial"/>
                <w:sz w:val="20"/>
              </w:rPr>
              <w:t xml:space="preserve"> answer to the question(s) the case raises.  For example, a government agency has, or has not, exceeded its authority under a statute or the Constitution.  </w:t>
            </w:r>
            <w:r>
              <w:rPr>
                <w:rFonts w:ascii="Arial" w:hAnsi="Arial" w:cs="Arial"/>
                <w:sz w:val="20"/>
              </w:rPr>
              <w:t>In cases in which the Court serves as an appellate body</w:t>
            </w:r>
            <w:r w:rsidRPr="00D868C2">
              <w:rPr>
                <w:rFonts w:ascii="Arial" w:hAnsi="Arial" w:cs="Arial"/>
                <w:sz w:val="20"/>
              </w:rPr>
              <w:t xml:space="preserve">, decisions </w:t>
            </w:r>
            <w:r>
              <w:rPr>
                <w:rFonts w:ascii="Arial" w:hAnsi="Arial" w:cs="Arial"/>
                <w:sz w:val="20"/>
              </w:rPr>
              <w:t xml:space="preserve">also </w:t>
            </w:r>
            <w:r w:rsidRPr="00D868C2">
              <w:rPr>
                <w:rFonts w:ascii="Arial" w:hAnsi="Arial" w:cs="Arial"/>
                <w:sz w:val="20"/>
              </w:rPr>
              <w:t xml:space="preserve">take the form of </w:t>
            </w:r>
            <w:r w:rsidRPr="00D868C2">
              <w:rPr>
                <w:rFonts w:ascii="Arial" w:hAnsi="Arial" w:cs="Arial"/>
                <w:i/>
                <w:sz w:val="20"/>
              </w:rPr>
              <w:t>affirming</w:t>
            </w:r>
            <w:r w:rsidRPr="00D868C2">
              <w:rPr>
                <w:rFonts w:ascii="Arial" w:hAnsi="Arial" w:cs="Arial"/>
                <w:sz w:val="20"/>
              </w:rPr>
              <w:t xml:space="preserve"> or </w:t>
            </w:r>
            <w:r w:rsidRPr="00D868C2">
              <w:rPr>
                <w:rFonts w:ascii="Arial" w:hAnsi="Arial" w:cs="Arial"/>
                <w:i/>
                <w:sz w:val="20"/>
              </w:rPr>
              <w:t>reversing</w:t>
            </w:r>
            <w:r w:rsidRPr="00D868C2">
              <w:rPr>
                <w:rFonts w:ascii="Arial" w:hAnsi="Arial" w:cs="Arial"/>
                <w:sz w:val="20"/>
              </w:rPr>
              <w:t xml:space="preserve"> the judgment of the court below.  When reversing, the Justices will often </w:t>
            </w:r>
            <w:r w:rsidR="00B16B5F">
              <w:rPr>
                <w:rFonts w:ascii="Arial" w:hAnsi="Arial" w:cs="Arial"/>
                <w:i/>
                <w:iCs/>
                <w:sz w:val="20"/>
              </w:rPr>
              <w:t xml:space="preserve">remand </w:t>
            </w:r>
            <w:r>
              <w:rPr>
                <w:rFonts w:ascii="Arial" w:hAnsi="Arial" w:cs="Arial"/>
                <w:sz w:val="20"/>
              </w:rPr>
              <w:t>a</w:t>
            </w:r>
            <w:r w:rsidRPr="00D868C2">
              <w:rPr>
                <w:rFonts w:ascii="Arial" w:hAnsi="Arial" w:cs="Arial"/>
                <w:sz w:val="20"/>
              </w:rPr>
              <w:t xml:space="preserve"> case to the lower court for </w:t>
            </w:r>
            <w:r>
              <w:rPr>
                <w:rFonts w:ascii="Arial" w:hAnsi="Arial" w:cs="Arial"/>
                <w:sz w:val="20"/>
              </w:rPr>
              <w:t>additional proceedings</w:t>
            </w:r>
            <w:r w:rsidRPr="00D868C2">
              <w:rPr>
                <w:rFonts w:ascii="Arial" w:hAnsi="Arial" w:cs="Arial"/>
                <w:sz w:val="20"/>
              </w:rPr>
              <w:t xml:space="preserve"> “not inconsiste</w:t>
            </w:r>
            <w:r>
              <w:rPr>
                <w:rFonts w:ascii="Arial" w:hAnsi="Arial" w:cs="Arial"/>
                <w:sz w:val="20"/>
              </w:rPr>
              <w:t>nt” with the Court’s decision.</w:t>
            </w:r>
          </w:p>
          <w:p w14:paraId="3A7E7263" w14:textId="77777777" w:rsidR="00460AFE" w:rsidRPr="00D868C2" w:rsidRDefault="00460AFE" w:rsidP="00460AFE">
            <w:pPr>
              <w:rPr>
                <w:rFonts w:ascii="Arial" w:hAnsi="Arial" w:cs="Arial"/>
                <w:sz w:val="20"/>
              </w:rPr>
            </w:pPr>
          </w:p>
          <w:p w14:paraId="1FF703A1" w14:textId="77777777" w:rsidR="00460AFE" w:rsidRDefault="00460AFE" w:rsidP="00460AFE">
            <w:pPr>
              <w:rPr>
                <w:rFonts w:ascii="Arial" w:hAnsi="Arial" w:cs="Arial"/>
                <w:sz w:val="20"/>
              </w:rPr>
            </w:pPr>
            <w:r>
              <w:rPr>
                <w:rFonts w:ascii="Arial" w:hAnsi="Arial" w:cs="Arial"/>
                <w:sz w:val="20"/>
              </w:rPr>
              <w:t>5</w:t>
            </w:r>
            <w:r w:rsidRPr="00D868C2">
              <w:rPr>
                <w:rFonts w:ascii="Arial" w:hAnsi="Arial" w:cs="Arial"/>
                <w:sz w:val="20"/>
              </w:rPr>
              <w:t xml:space="preserve">. </w:t>
            </w:r>
            <w:r>
              <w:rPr>
                <w:rFonts w:ascii="Arial" w:hAnsi="Arial" w:cs="Arial"/>
                <w:i/>
                <w:sz w:val="20"/>
              </w:rPr>
              <w:t>Opinions</w:t>
            </w:r>
            <w:r w:rsidRPr="00D868C2">
              <w:rPr>
                <w:rFonts w:ascii="Arial" w:hAnsi="Arial" w:cs="Arial"/>
                <w:i/>
                <w:sz w:val="20"/>
              </w:rPr>
              <w:t>.</w:t>
            </w:r>
            <w:r w:rsidRPr="00D868C2">
              <w:rPr>
                <w:rFonts w:ascii="Arial" w:hAnsi="Arial" w:cs="Arial"/>
                <w:sz w:val="20"/>
              </w:rPr>
              <w:t xml:space="preserve">  The </w:t>
            </w:r>
            <w:r>
              <w:rPr>
                <w:rFonts w:ascii="Arial" w:hAnsi="Arial" w:cs="Arial"/>
                <w:sz w:val="20"/>
              </w:rPr>
              <w:t xml:space="preserve">justices write opinions that answer the question(s) of the case and </w:t>
            </w:r>
            <w:proofErr w:type="gramStart"/>
            <w:r>
              <w:rPr>
                <w:rFonts w:ascii="Arial" w:hAnsi="Arial" w:cs="Arial"/>
                <w:sz w:val="20"/>
              </w:rPr>
              <w:t>explains</w:t>
            </w:r>
            <w:proofErr w:type="gramEnd"/>
            <w:r>
              <w:rPr>
                <w:rFonts w:ascii="Arial" w:hAnsi="Arial" w:cs="Arial"/>
                <w:sz w:val="20"/>
              </w:rPr>
              <w:t xml:space="preserve"> why that answer(s) is the best one</w:t>
            </w:r>
            <w:r w:rsidRPr="00D868C2">
              <w:rPr>
                <w:rFonts w:ascii="Arial" w:hAnsi="Arial" w:cs="Arial"/>
                <w:sz w:val="20"/>
              </w:rPr>
              <w:t xml:space="preserve">. </w:t>
            </w:r>
            <w:r>
              <w:rPr>
                <w:rFonts w:ascii="Arial" w:hAnsi="Arial" w:cs="Arial"/>
                <w:sz w:val="20"/>
              </w:rPr>
              <w:t>Justices do not write an opinion for every case; they instead join the opinions of their colleagues, which should be noted. Though not all justices write opinions, a</w:t>
            </w:r>
            <w:r w:rsidRPr="00D868C2">
              <w:rPr>
                <w:rFonts w:ascii="Arial" w:hAnsi="Arial" w:cs="Arial"/>
                <w:sz w:val="20"/>
              </w:rPr>
              <w:t xml:space="preserve">ll justices normally take part in each decision.  Awareness of the votes of individual justices </w:t>
            </w:r>
            <w:proofErr w:type="gramStart"/>
            <w:r>
              <w:rPr>
                <w:rFonts w:ascii="Arial" w:hAnsi="Arial" w:cs="Arial"/>
                <w:sz w:val="20"/>
              </w:rPr>
              <w:t>allow</w:t>
            </w:r>
            <w:proofErr w:type="gramEnd"/>
            <w:r>
              <w:rPr>
                <w:rFonts w:ascii="Arial" w:hAnsi="Arial" w:cs="Arial"/>
                <w:sz w:val="20"/>
              </w:rPr>
              <w:t xml:space="preserve"> the reader to better understand a justice’s jurisprudence.</w:t>
            </w:r>
          </w:p>
          <w:p w14:paraId="6252EBC9" w14:textId="77777777" w:rsidR="00460AFE" w:rsidRPr="00D868C2" w:rsidRDefault="00460AFE" w:rsidP="00460AFE">
            <w:pPr>
              <w:rPr>
                <w:rFonts w:ascii="Arial" w:hAnsi="Arial" w:cs="Arial"/>
                <w:sz w:val="20"/>
              </w:rPr>
            </w:pPr>
          </w:p>
          <w:p w14:paraId="222C75FB" w14:textId="77777777" w:rsidR="00460AFE" w:rsidRDefault="00460AFE" w:rsidP="00460AFE">
            <w:pPr>
              <w:rPr>
                <w:rFonts w:ascii="Arial" w:hAnsi="Arial" w:cs="Arial"/>
                <w:sz w:val="20"/>
              </w:rPr>
            </w:pPr>
            <w:r>
              <w:rPr>
                <w:rFonts w:ascii="Arial" w:hAnsi="Arial" w:cs="Arial"/>
                <w:sz w:val="20"/>
              </w:rPr>
              <w:t>6</w:t>
            </w:r>
            <w:r w:rsidRPr="00D868C2">
              <w:rPr>
                <w:rFonts w:ascii="Arial" w:hAnsi="Arial" w:cs="Arial"/>
                <w:sz w:val="20"/>
              </w:rPr>
              <w:t xml:space="preserve">. </w:t>
            </w:r>
            <w:r w:rsidRPr="00D868C2">
              <w:rPr>
                <w:rFonts w:ascii="Arial" w:hAnsi="Arial" w:cs="Arial"/>
                <w:i/>
                <w:sz w:val="20"/>
              </w:rPr>
              <w:t>Reasoning of the Majority Opinion.</w:t>
            </w:r>
            <w:r w:rsidRPr="00D868C2">
              <w:rPr>
                <w:rFonts w:ascii="Arial" w:hAnsi="Arial" w:cs="Arial"/>
                <w:sz w:val="20"/>
              </w:rPr>
              <w:t xml:space="preserve">  Th</w:t>
            </w:r>
            <w:r>
              <w:rPr>
                <w:rFonts w:ascii="Arial" w:hAnsi="Arial" w:cs="Arial"/>
                <w:sz w:val="20"/>
              </w:rPr>
              <w:t xml:space="preserve">e </w:t>
            </w:r>
            <w:r w:rsidRPr="00D868C2">
              <w:rPr>
                <w:rFonts w:ascii="Arial" w:hAnsi="Arial" w:cs="Arial"/>
                <w:sz w:val="20"/>
              </w:rPr>
              <w:t>“majority opinion” or the “opinion of the Court”</w:t>
            </w:r>
            <w:r>
              <w:rPr>
                <w:rFonts w:ascii="Arial" w:hAnsi="Arial" w:cs="Arial"/>
                <w:sz w:val="20"/>
              </w:rPr>
              <w:t xml:space="preserve"> </w:t>
            </w:r>
            <w:r w:rsidRPr="00D868C2">
              <w:rPr>
                <w:rFonts w:ascii="Arial" w:hAnsi="Arial" w:cs="Arial"/>
                <w:sz w:val="20"/>
              </w:rPr>
              <w:t xml:space="preserve">is a statement reflecting the consensus of </w:t>
            </w:r>
            <w:proofErr w:type="gramStart"/>
            <w:r w:rsidRPr="00D868C2">
              <w:rPr>
                <w:rFonts w:ascii="Arial" w:hAnsi="Arial" w:cs="Arial"/>
                <w:sz w:val="20"/>
              </w:rPr>
              <w:t>a majority of</w:t>
            </w:r>
            <w:proofErr w:type="gramEnd"/>
            <w:r w:rsidRPr="00D868C2">
              <w:rPr>
                <w:rFonts w:ascii="Arial" w:hAnsi="Arial" w:cs="Arial"/>
                <w:sz w:val="20"/>
              </w:rPr>
              <w:t xml:space="preserve"> the Justices</w:t>
            </w:r>
            <w:r>
              <w:rPr>
                <w:rFonts w:ascii="Arial" w:hAnsi="Arial" w:cs="Arial"/>
                <w:sz w:val="20"/>
              </w:rPr>
              <w:t xml:space="preserve"> on the questions of the case.</w:t>
            </w:r>
            <w:r w:rsidRPr="00D868C2">
              <w:rPr>
                <w:rFonts w:ascii="Arial" w:hAnsi="Arial" w:cs="Arial"/>
                <w:sz w:val="20"/>
              </w:rPr>
              <w:t xml:space="preserve"> </w:t>
            </w:r>
            <w:r>
              <w:rPr>
                <w:rFonts w:ascii="Arial" w:hAnsi="Arial" w:cs="Arial"/>
                <w:sz w:val="20"/>
              </w:rPr>
              <w:t>On substantive questions, the opinion will give a general interpretation of a constitutional provision(s) and discuss how that interpretation should be applied to the case. B</w:t>
            </w:r>
            <w:r w:rsidRPr="00D868C2">
              <w:rPr>
                <w:rFonts w:ascii="Arial" w:hAnsi="Arial" w:cs="Arial"/>
                <w:sz w:val="20"/>
              </w:rPr>
              <w:t xml:space="preserve">e alert to the use or presence of </w:t>
            </w:r>
            <w:r>
              <w:rPr>
                <w:rFonts w:ascii="Arial" w:hAnsi="Arial" w:cs="Arial"/>
                <w:sz w:val="20"/>
              </w:rPr>
              <w:t>several methods of judicial interpretation, as explained in the textbook. Also determine if the Court is using a particular standard of review or constitutional test when evaluating a particular government action. Finally, be sure to note how the opinion responds to the arguments presented by both the parties in the case as well as the separate opinions.</w:t>
            </w:r>
          </w:p>
          <w:p w14:paraId="1EB6F09B" w14:textId="77777777" w:rsidR="00460AFE" w:rsidRPr="00D868C2" w:rsidRDefault="00460AFE" w:rsidP="00460AFE">
            <w:pPr>
              <w:rPr>
                <w:rFonts w:ascii="Arial" w:hAnsi="Arial" w:cs="Arial"/>
                <w:sz w:val="20"/>
              </w:rPr>
            </w:pPr>
          </w:p>
          <w:p w14:paraId="6B393CA7" w14:textId="77777777" w:rsidR="00460AFE" w:rsidRDefault="00460AFE" w:rsidP="00460AFE">
            <w:pPr>
              <w:rPr>
                <w:rFonts w:ascii="Arial" w:hAnsi="Arial" w:cs="Arial"/>
                <w:sz w:val="20"/>
              </w:rPr>
            </w:pPr>
            <w:r>
              <w:rPr>
                <w:rFonts w:ascii="Arial" w:hAnsi="Arial" w:cs="Arial"/>
                <w:sz w:val="20"/>
              </w:rPr>
              <w:t>7</w:t>
            </w:r>
            <w:r w:rsidRPr="00D868C2">
              <w:rPr>
                <w:rFonts w:ascii="Arial" w:hAnsi="Arial" w:cs="Arial"/>
                <w:sz w:val="20"/>
              </w:rPr>
              <w:t xml:space="preserve">. </w:t>
            </w:r>
            <w:r w:rsidRPr="00D868C2">
              <w:rPr>
                <w:rFonts w:ascii="Arial" w:hAnsi="Arial" w:cs="Arial"/>
                <w:i/>
                <w:sz w:val="20"/>
              </w:rPr>
              <w:t xml:space="preserve">Reasoning </w:t>
            </w:r>
            <w:proofErr w:type="gramStart"/>
            <w:r w:rsidRPr="00D868C2">
              <w:rPr>
                <w:rFonts w:ascii="Arial" w:hAnsi="Arial" w:cs="Arial"/>
                <w:i/>
                <w:sz w:val="20"/>
              </w:rPr>
              <w:t>of</w:t>
            </w:r>
            <w:proofErr w:type="gramEnd"/>
            <w:r w:rsidRPr="00D868C2">
              <w:rPr>
                <w:rFonts w:ascii="Arial" w:hAnsi="Arial" w:cs="Arial"/>
                <w:i/>
                <w:sz w:val="20"/>
              </w:rPr>
              <w:t xml:space="preserve"> Separate Opinions.</w:t>
            </w:r>
            <w:r w:rsidRPr="00D868C2">
              <w:rPr>
                <w:rFonts w:ascii="Arial" w:hAnsi="Arial" w:cs="Arial"/>
                <w:sz w:val="20"/>
              </w:rPr>
              <w:t xml:space="preserve"> Concurring</w:t>
            </w:r>
            <w:r>
              <w:rPr>
                <w:rFonts w:ascii="Arial" w:hAnsi="Arial" w:cs="Arial"/>
                <w:sz w:val="20"/>
              </w:rPr>
              <w:t xml:space="preserve"> opinions are those in which a justice(s) agreed with the outcome reached by the majority opinion, but who feel their views are not fully reflected by the majority opinion. A regular concurrence expands upon the majority opinion reasoning, while a special concurrence might disagree with large parts of the majority opinion while agreeing on the outcome. Dissenting opinions are those in which a justice(s) disagreed with the outcome of the case. They may have a different interpretation of a constitutional provision or a different view on how the constitutional provision applies to the facts of a case.</w:t>
            </w:r>
          </w:p>
          <w:p w14:paraId="0DD8C46A" w14:textId="77777777" w:rsidR="00460AFE" w:rsidRDefault="00460AFE" w:rsidP="00460AFE">
            <w:pPr>
              <w:rPr>
                <w:rFonts w:ascii="Arial" w:hAnsi="Arial" w:cs="Arial"/>
                <w:sz w:val="20"/>
              </w:rPr>
            </w:pPr>
          </w:p>
          <w:p w14:paraId="5511ABCE" w14:textId="25CE7D2F" w:rsidR="00460AFE" w:rsidRDefault="00460AFE" w:rsidP="00460AFE">
            <w:pPr>
              <w:rPr>
                <w:rFonts w:ascii="Arial" w:hAnsi="Arial" w:cs="Arial"/>
                <w:sz w:val="20"/>
              </w:rPr>
            </w:pPr>
            <w:r>
              <w:rPr>
                <w:rFonts w:ascii="Arial" w:hAnsi="Arial" w:cs="Arial"/>
                <w:sz w:val="20"/>
              </w:rPr>
              <w:t xml:space="preserve">8. </w:t>
            </w:r>
            <w:r w:rsidRPr="00891D43">
              <w:rPr>
                <w:rFonts w:ascii="Arial" w:hAnsi="Arial" w:cs="Arial"/>
                <w:i/>
                <w:iCs/>
                <w:sz w:val="20"/>
              </w:rPr>
              <w:t>Legacy and Significance.</w:t>
            </w:r>
            <w:r>
              <w:rPr>
                <w:rFonts w:ascii="Arial" w:hAnsi="Arial" w:cs="Arial"/>
                <w:sz w:val="20"/>
              </w:rPr>
              <w:t xml:space="preserve"> Cases have important consequences for the political and legal debates of the country. Political consequences include the passage of new legislation in response to the case or invalidation of similar legislation. Legal consequences include establishing or overturning precedent on a constitutional issue that is cited in later cases. Additionally, the Court may decide to leave questions germane to the case unresolved because they are unnecessary for the Court to answer </w:t>
            </w:r>
            <w:proofErr w:type="gramStart"/>
            <w:r>
              <w:rPr>
                <w:rFonts w:ascii="Arial" w:hAnsi="Arial" w:cs="Arial"/>
                <w:sz w:val="20"/>
              </w:rPr>
              <w:t>in order to</w:t>
            </w:r>
            <w:proofErr w:type="gramEnd"/>
            <w:r>
              <w:rPr>
                <w:rFonts w:ascii="Arial" w:hAnsi="Arial" w:cs="Arial"/>
                <w:sz w:val="20"/>
              </w:rPr>
              <w:t xml:space="preserve"> decide the outcome of the case.</w:t>
            </w:r>
          </w:p>
          <w:p w14:paraId="469CFEDB" w14:textId="77777777" w:rsidR="00C50830" w:rsidRDefault="00C50830" w:rsidP="00460AFE">
            <w:pPr>
              <w:rPr>
                <w:rFonts w:ascii="Arial" w:hAnsi="Arial" w:cs="Arial"/>
                <w:sz w:val="20"/>
              </w:rPr>
            </w:pPr>
          </w:p>
          <w:p w14:paraId="07CC6858" w14:textId="21F8EE9B" w:rsidR="007963E4" w:rsidRPr="00C2322F" w:rsidRDefault="00460AFE" w:rsidP="00460AFE">
            <w:pPr>
              <w:rPr>
                <w:rFonts w:ascii="Arial" w:hAnsi="Arial" w:cs="Arial"/>
                <w:sz w:val="20"/>
              </w:rPr>
            </w:pPr>
            <w:r>
              <w:rPr>
                <w:rFonts w:ascii="Arial" w:hAnsi="Arial" w:cs="Arial"/>
                <w:sz w:val="20"/>
              </w:rPr>
              <w:t xml:space="preserve">9. </w:t>
            </w:r>
            <w:proofErr w:type="gramStart"/>
            <w:r w:rsidRPr="00705B37">
              <w:rPr>
                <w:rFonts w:ascii="Arial" w:hAnsi="Arial" w:cs="Arial"/>
                <w:i/>
                <w:iCs/>
                <w:sz w:val="20"/>
              </w:rPr>
              <w:t>Personal Opinion</w:t>
            </w:r>
            <w:proofErr w:type="gramEnd"/>
            <w:r>
              <w:rPr>
                <w:rFonts w:ascii="Arial" w:hAnsi="Arial" w:cs="Arial"/>
                <w:sz w:val="20"/>
              </w:rPr>
              <w:t>. State how you would vote as a justice. Explain how you would answer the question(s) in the case and describe your legal rationale for doing so. Also discuss how you would vote, including which opinions you would join and whether you would file your own opinion.</w:t>
            </w:r>
          </w:p>
        </w:tc>
      </w:tr>
    </w:tbl>
    <w:p w14:paraId="1E51CE53" w14:textId="022FBC4B" w:rsidR="000C6758" w:rsidRDefault="000C6758" w:rsidP="00F97A7F"/>
    <w:sectPr w:rsidR="000C6758" w:rsidSect="000079EE">
      <w:footerReference w:type="default" r:id="rId14"/>
      <w:pgSz w:w="12240" w:h="15840" w:code="1"/>
      <w:pgMar w:top="1440" w:right="1080" w:bottom="1440" w:left="1080" w:header="432"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244A" w14:textId="77777777" w:rsidR="00776177" w:rsidRDefault="00776177">
      <w:r>
        <w:separator/>
      </w:r>
    </w:p>
  </w:endnote>
  <w:endnote w:type="continuationSeparator" w:id="0">
    <w:p w14:paraId="02DBDDFB" w14:textId="77777777" w:rsidR="00776177" w:rsidRDefault="0077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1542" w14:textId="77777777" w:rsidR="008034F7" w:rsidRPr="009C05D2" w:rsidRDefault="008034F7">
    <w:pPr>
      <w:pStyle w:val="Footer"/>
      <w:rPr>
        <w:rFonts w:ascii="Arial" w:hAnsi="Arial"/>
        <w:sz w:val="16"/>
      </w:rPr>
    </w:pPr>
    <w:r w:rsidRPr="009C05D2">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1E00" w14:textId="77777777" w:rsidR="00776177" w:rsidRDefault="00776177">
      <w:r>
        <w:separator/>
      </w:r>
    </w:p>
  </w:footnote>
  <w:footnote w:type="continuationSeparator" w:id="0">
    <w:p w14:paraId="37F0E302" w14:textId="77777777" w:rsidR="00776177" w:rsidRDefault="00776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5D6F"/>
    <w:multiLevelType w:val="hybridMultilevel"/>
    <w:tmpl w:val="59F46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0F0C76"/>
    <w:multiLevelType w:val="hybridMultilevel"/>
    <w:tmpl w:val="7DF0D92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866EDF"/>
    <w:multiLevelType w:val="hybridMultilevel"/>
    <w:tmpl w:val="5E2E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E69FA"/>
    <w:multiLevelType w:val="hybridMultilevel"/>
    <w:tmpl w:val="F202CF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D378B7"/>
    <w:multiLevelType w:val="hybridMultilevel"/>
    <w:tmpl w:val="A44A26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E67F6"/>
    <w:multiLevelType w:val="multilevel"/>
    <w:tmpl w:val="320A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5235907">
    <w:abstractNumId w:val="3"/>
  </w:num>
  <w:num w:numId="2" w16cid:durableId="37778104">
    <w:abstractNumId w:val="1"/>
  </w:num>
  <w:num w:numId="3" w16cid:durableId="968779807">
    <w:abstractNumId w:val="4"/>
  </w:num>
  <w:num w:numId="4" w16cid:durableId="916986586">
    <w:abstractNumId w:val="0"/>
  </w:num>
  <w:num w:numId="5" w16cid:durableId="859583562">
    <w:abstractNumId w:val="5"/>
  </w:num>
  <w:num w:numId="6" w16cid:durableId="454756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3F"/>
    <w:rsid w:val="000049DD"/>
    <w:rsid w:val="000079EE"/>
    <w:rsid w:val="00012A9E"/>
    <w:rsid w:val="000463E9"/>
    <w:rsid w:val="00056138"/>
    <w:rsid w:val="00072F6D"/>
    <w:rsid w:val="00080E64"/>
    <w:rsid w:val="000914E4"/>
    <w:rsid w:val="000B68E3"/>
    <w:rsid w:val="000B6CFA"/>
    <w:rsid w:val="000C158F"/>
    <w:rsid w:val="000C6758"/>
    <w:rsid w:val="000D099A"/>
    <w:rsid w:val="000E4BD1"/>
    <w:rsid w:val="000E5A69"/>
    <w:rsid w:val="000E758D"/>
    <w:rsid w:val="00130F15"/>
    <w:rsid w:val="0013130F"/>
    <w:rsid w:val="0014238A"/>
    <w:rsid w:val="00144846"/>
    <w:rsid w:val="0014674F"/>
    <w:rsid w:val="0017759C"/>
    <w:rsid w:val="001825D8"/>
    <w:rsid w:val="00193C9B"/>
    <w:rsid w:val="00194365"/>
    <w:rsid w:val="001B7E89"/>
    <w:rsid w:val="001D64BE"/>
    <w:rsid w:val="001F36A8"/>
    <w:rsid w:val="00211D4D"/>
    <w:rsid w:val="0021589C"/>
    <w:rsid w:val="0023478A"/>
    <w:rsid w:val="002351C2"/>
    <w:rsid w:val="002457B1"/>
    <w:rsid w:val="002458BA"/>
    <w:rsid w:val="002468DD"/>
    <w:rsid w:val="0025030F"/>
    <w:rsid w:val="00252E53"/>
    <w:rsid w:val="00255267"/>
    <w:rsid w:val="00256DE4"/>
    <w:rsid w:val="00280197"/>
    <w:rsid w:val="002C672A"/>
    <w:rsid w:val="002D7DB7"/>
    <w:rsid w:val="002F51A2"/>
    <w:rsid w:val="0030321B"/>
    <w:rsid w:val="00305671"/>
    <w:rsid w:val="003213EF"/>
    <w:rsid w:val="0032782C"/>
    <w:rsid w:val="00354604"/>
    <w:rsid w:val="003553BC"/>
    <w:rsid w:val="00355C07"/>
    <w:rsid w:val="00366889"/>
    <w:rsid w:val="00373F5C"/>
    <w:rsid w:val="00396748"/>
    <w:rsid w:val="003A394C"/>
    <w:rsid w:val="003D7214"/>
    <w:rsid w:val="003E7EC6"/>
    <w:rsid w:val="00401BD3"/>
    <w:rsid w:val="00406347"/>
    <w:rsid w:val="00426D21"/>
    <w:rsid w:val="004415F9"/>
    <w:rsid w:val="00445816"/>
    <w:rsid w:val="00446560"/>
    <w:rsid w:val="00446EE1"/>
    <w:rsid w:val="00450627"/>
    <w:rsid w:val="004556FE"/>
    <w:rsid w:val="00460AFE"/>
    <w:rsid w:val="00464487"/>
    <w:rsid w:val="00465256"/>
    <w:rsid w:val="00485AB3"/>
    <w:rsid w:val="004A2046"/>
    <w:rsid w:val="004B284C"/>
    <w:rsid w:val="004B40EB"/>
    <w:rsid w:val="004C179E"/>
    <w:rsid w:val="004C4D6B"/>
    <w:rsid w:val="004D479E"/>
    <w:rsid w:val="004D5083"/>
    <w:rsid w:val="004E1A18"/>
    <w:rsid w:val="004E24A2"/>
    <w:rsid w:val="004E61E2"/>
    <w:rsid w:val="004F321B"/>
    <w:rsid w:val="004F51F1"/>
    <w:rsid w:val="004F52EE"/>
    <w:rsid w:val="004F57BA"/>
    <w:rsid w:val="004F609F"/>
    <w:rsid w:val="00505FDF"/>
    <w:rsid w:val="005066E8"/>
    <w:rsid w:val="00540D44"/>
    <w:rsid w:val="005562DE"/>
    <w:rsid w:val="005565CB"/>
    <w:rsid w:val="0056006B"/>
    <w:rsid w:val="005705AA"/>
    <w:rsid w:val="00574E8A"/>
    <w:rsid w:val="00583DFF"/>
    <w:rsid w:val="00584878"/>
    <w:rsid w:val="005B71F0"/>
    <w:rsid w:val="005C2A7A"/>
    <w:rsid w:val="005D4649"/>
    <w:rsid w:val="006009D5"/>
    <w:rsid w:val="00604A83"/>
    <w:rsid w:val="00625AD0"/>
    <w:rsid w:val="00625DC6"/>
    <w:rsid w:val="00632965"/>
    <w:rsid w:val="006339E2"/>
    <w:rsid w:val="00641CE2"/>
    <w:rsid w:val="006437CD"/>
    <w:rsid w:val="00643C3F"/>
    <w:rsid w:val="00654087"/>
    <w:rsid w:val="00677979"/>
    <w:rsid w:val="0068609D"/>
    <w:rsid w:val="00686D15"/>
    <w:rsid w:val="006A04F1"/>
    <w:rsid w:val="006A74A2"/>
    <w:rsid w:val="006C3FDA"/>
    <w:rsid w:val="006C67DC"/>
    <w:rsid w:val="006C6BF2"/>
    <w:rsid w:val="006D1634"/>
    <w:rsid w:val="006D7889"/>
    <w:rsid w:val="006E547C"/>
    <w:rsid w:val="006F1AEA"/>
    <w:rsid w:val="006F26D4"/>
    <w:rsid w:val="00705B37"/>
    <w:rsid w:val="00705BF1"/>
    <w:rsid w:val="00717DC6"/>
    <w:rsid w:val="00754925"/>
    <w:rsid w:val="00755C54"/>
    <w:rsid w:val="00761C2D"/>
    <w:rsid w:val="0077530F"/>
    <w:rsid w:val="00776177"/>
    <w:rsid w:val="00792355"/>
    <w:rsid w:val="00792C48"/>
    <w:rsid w:val="007963E4"/>
    <w:rsid w:val="007A75A7"/>
    <w:rsid w:val="007B7CF7"/>
    <w:rsid w:val="007C3BCB"/>
    <w:rsid w:val="007C6CB2"/>
    <w:rsid w:val="007C7C3F"/>
    <w:rsid w:val="007F3857"/>
    <w:rsid w:val="008034F7"/>
    <w:rsid w:val="00820590"/>
    <w:rsid w:val="008351FE"/>
    <w:rsid w:val="00835567"/>
    <w:rsid w:val="00846D53"/>
    <w:rsid w:val="0084774A"/>
    <w:rsid w:val="008478F4"/>
    <w:rsid w:val="008603A7"/>
    <w:rsid w:val="0086630F"/>
    <w:rsid w:val="008834C4"/>
    <w:rsid w:val="00884395"/>
    <w:rsid w:val="00890093"/>
    <w:rsid w:val="00890346"/>
    <w:rsid w:val="00891D43"/>
    <w:rsid w:val="008A1ACD"/>
    <w:rsid w:val="008B0848"/>
    <w:rsid w:val="008B1E35"/>
    <w:rsid w:val="008C227A"/>
    <w:rsid w:val="008C6CBC"/>
    <w:rsid w:val="008D7241"/>
    <w:rsid w:val="0090323F"/>
    <w:rsid w:val="00907099"/>
    <w:rsid w:val="00910766"/>
    <w:rsid w:val="009219B4"/>
    <w:rsid w:val="00930662"/>
    <w:rsid w:val="00945EBD"/>
    <w:rsid w:val="00955F8D"/>
    <w:rsid w:val="00956E90"/>
    <w:rsid w:val="009705B4"/>
    <w:rsid w:val="00975FAB"/>
    <w:rsid w:val="0098463D"/>
    <w:rsid w:val="00985571"/>
    <w:rsid w:val="009A4B5D"/>
    <w:rsid w:val="009B2693"/>
    <w:rsid w:val="009D3C36"/>
    <w:rsid w:val="009D5167"/>
    <w:rsid w:val="009D5E66"/>
    <w:rsid w:val="009E6BBE"/>
    <w:rsid w:val="009E7641"/>
    <w:rsid w:val="009F263F"/>
    <w:rsid w:val="009F3D0B"/>
    <w:rsid w:val="00A033F1"/>
    <w:rsid w:val="00A16AB6"/>
    <w:rsid w:val="00A23D52"/>
    <w:rsid w:val="00A46257"/>
    <w:rsid w:val="00A65D99"/>
    <w:rsid w:val="00A73377"/>
    <w:rsid w:val="00A83152"/>
    <w:rsid w:val="00A90117"/>
    <w:rsid w:val="00A91C65"/>
    <w:rsid w:val="00A91C79"/>
    <w:rsid w:val="00AA7317"/>
    <w:rsid w:val="00AC548B"/>
    <w:rsid w:val="00AC7D50"/>
    <w:rsid w:val="00AE011D"/>
    <w:rsid w:val="00AE1CA2"/>
    <w:rsid w:val="00AF48E6"/>
    <w:rsid w:val="00B013FB"/>
    <w:rsid w:val="00B0190B"/>
    <w:rsid w:val="00B0295F"/>
    <w:rsid w:val="00B07671"/>
    <w:rsid w:val="00B10E1D"/>
    <w:rsid w:val="00B16B5F"/>
    <w:rsid w:val="00B1776C"/>
    <w:rsid w:val="00B26D1E"/>
    <w:rsid w:val="00B40966"/>
    <w:rsid w:val="00B4474D"/>
    <w:rsid w:val="00B60CCC"/>
    <w:rsid w:val="00B829B0"/>
    <w:rsid w:val="00B84546"/>
    <w:rsid w:val="00B86389"/>
    <w:rsid w:val="00B91F35"/>
    <w:rsid w:val="00B9330C"/>
    <w:rsid w:val="00B9408D"/>
    <w:rsid w:val="00BA131C"/>
    <w:rsid w:val="00BA564C"/>
    <w:rsid w:val="00BC3A05"/>
    <w:rsid w:val="00BD0806"/>
    <w:rsid w:val="00BD7CB2"/>
    <w:rsid w:val="00BE77BB"/>
    <w:rsid w:val="00BF2FDE"/>
    <w:rsid w:val="00C03BE6"/>
    <w:rsid w:val="00C2322F"/>
    <w:rsid w:val="00C327C8"/>
    <w:rsid w:val="00C35399"/>
    <w:rsid w:val="00C44D48"/>
    <w:rsid w:val="00C50830"/>
    <w:rsid w:val="00C6573F"/>
    <w:rsid w:val="00C711DF"/>
    <w:rsid w:val="00C7320D"/>
    <w:rsid w:val="00C768FB"/>
    <w:rsid w:val="00C829C1"/>
    <w:rsid w:val="00C84012"/>
    <w:rsid w:val="00C96DB3"/>
    <w:rsid w:val="00CA0771"/>
    <w:rsid w:val="00CA52BA"/>
    <w:rsid w:val="00CB6754"/>
    <w:rsid w:val="00CB6B21"/>
    <w:rsid w:val="00CB762A"/>
    <w:rsid w:val="00CD40C0"/>
    <w:rsid w:val="00CD566E"/>
    <w:rsid w:val="00CE463E"/>
    <w:rsid w:val="00CE5191"/>
    <w:rsid w:val="00CE6E0D"/>
    <w:rsid w:val="00CF247E"/>
    <w:rsid w:val="00D11161"/>
    <w:rsid w:val="00D1532C"/>
    <w:rsid w:val="00D205CB"/>
    <w:rsid w:val="00D31A6A"/>
    <w:rsid w:val="00D37510"/>
    <w:rsid w:val="00D46D11"/>
    <w:rsid w:val="00D47210"/>
    <w:rsid w:val="00D47813"/>
    <w:rsid w:val="00D52768"/>
    <w:rsid w:val="00D5503C"/>
    <w:rsid w:val="00D618E4"/>
    <w:rsid w:val="00D61AAF"/>
    <w:rsid w:val="00D63FAA"/>
    <w:rsid w:val="00D64EB5"/>
    <w:rsid w:val="00D6678E"/>
    <w:rsid w:val="00D71E80"/>
    <w:rsid w:val="00D76428"/>
    <w:rsid w:val="00D868C2"/>
    <w:rsid w:val="00D87ECF"/>
    <w:rsid w:val="00D91E66"/>
    <w:rsid w:val="00D93787"/>
    <w:rsid w:val="00DE078E"/>
    <w:rsid w:val="00DF216A"/>
    <w:rsid w:val="00DF3C0A"/>
    <w:rsid w:val="00DF49AC"/>
    <w:rsid w:val="00DF534B"/>
    <w:rsid w:val="00E1333D"/>
    <w:rsid w:val="00E3794F"/>
    <w:rsid w:val="00E46E53"/>
    <w:rsid w:val="00E47081"/>
    <w:rsid w:val="00E63479"/>
    <w:rsid w:val="00E741F7"/>
    <w:rsid w:val="00E75B75"/>
    <w:rsid w:val="00E80FD8"/>
    <w:rsid w:val="00E912A6"/>
    <w:rsid w:val="00E95626"/>
    <w:rsid w:val="00EA6FFA"/>
    <w:rsid w:val="00EB3D57"/>
    <w:rsid w:val="00EB614B"/>
    <w:rsid w:val="00EC7A52"/>
    <w:rsid w:val="00ED0043"/>
    <w:rsid w:val="00EE5782"/>
    <w:rsid w:val="00EF5660"/>
    <w:rsid w:val="00F06BE8"/>
    <w:rsid w:val="00F207A9"/>
    <w:rsid w:val="00F415AC"/>
    <w:rsid w:val="00F53618"/>
    <w:rsid w:val="00F64EA4"/>
    <w:rsid w:val="00F71C61"/>
    <w:rsid w:val="00F737B7"/>
    <w:rsid w:val="00F74ED4"/>
    <w:rsid w:val="00F763D9"/>
    <w:rsid w:val="00F81432"/>
    <w:rsid w:val="00F97A7F"/>
    <w:rsid w:val="00FC6270"/>
    <w:rsid w:val="00FD0603"/>
    <w:rsid w:val="00FD15C4"/>
    <w:rsid w:val="00FD395C"/>
    <w:rsid w:val="00FE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AAB9E2"/>
  <w15:chartTrackingRefBased/>
  <w15:docId w15:val="{8A3FB710-DD72-4BFA-8A33-B684365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05D2"/>
    <w:rPr>
      <w:color w:val="0000FF"/>
      <w:u w:val="single"/>
    </w:rPr>
  </w:style>
  <w:style w:type="paragraph" w:styleId="Header">
    <w:name w:val="header"/>
    <w:basedOn w:val="Normal"/>
    <w:rsid w:val="009C05D2"/>
    <w:pPr>
      <w:tabs>
        <w:tab w:val="center" w:pos="4320"/>
        <w:tab w:val="right" w:pos="8640"/>
      </w:tabs>
    </w:pPr>
  </w:style>
  <w:style w:type="paragraph" w:styleId="Footer">
    <w:name w:val="footer"/>
    <w:basedOn w:val="Normal"/>
    <w:semiHidden/>
    <w:rsid w:val="009C05D2"/>
    <w:pPr>
      <w:tabs>
        <w:tab w:val="center" w:pos="4320"/>
        <w:tab w:val="right" w:pos="8640"/>
      </w:tabs>
    </w:pPr>
  </w:style>
  <w:style w:type="character" w:styleId="PageNumber">
    <w:name w:val="page number"/>
    <w:basedOn w:val="DefaultParagraphFont"/>
    <w:rsid w:val="009C05D2"/>
  </w:style>
  <w:style w:type="character" w:styleId="FollowedHyperlink">
    <w:name w:val="FollowedHyperlink"/>
    <w:rsid w:val="009C05D2"/>
    <w:rPr>
      <w:color w:val="800080"/>
      <w:u w:val="single"/>
    </w:rPr>
  </w:style>
  <w:style w:type="paragraph" w:styleId="ListParagraph">
    <w:name w:val="List Paragraph"/>
    <w:basedOn w:val="Normal"/>
    <w:uiPriority w:val="34"/>
    <w:qFormat/>
    <w:rsid w:val="00FE5457"/>
    <w:pPr>
      <w:ind w:left="720"/>
      <w:contextualSpacing/>
    </w:pPr>
  </w:style>
  <w:style w:type="character" w:styleId="UnresolvedMention">
    <w:name w:val="Unresolved Mention"/>
    <w:basedOn w:val="DefaultParagraphFont"/>
    <w:uiPriority w:val="99"/>
    <w:semiHidden/>
    <w:unhideWhenUsed/>
    <w:rsid w:val="00AF4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89940">
      <w:bodyDiv w:val="1"/>
      <w:marLeft w:val="0"/>
      <w:marRight w:val="0"/>
      <w:marTop w:val="0"/>
      <w:marBottom w:val="0"/>
      <w:divBdr>
        <w:top w:val="none" w:sz="0" w:space="0" w:color="auto"/>
        <w:left w:val="none" w:sz="0" w:space="0" w:color="auto"/>
        <w:bottom w:val="none" w:sz="0" w:space="0" w:color="auto"/>
        <w:right w:val="none" w:sz="0" w:space="0" w:color="auto"/>
      </w:divBdr>
    </w:div>
    <w:div w:id="12727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nesty.uga.edu/" TargetMode="External"/><Relationship Id="rId13" Type="http://schemas.openxmlformats.org/officeDocument/2006/relationships/hyperlink" Target="https://www.uhs.uga.edu/bewelluga/bewellug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hs.uga.edu/info/emergen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hs.uga.edu/bewelluga/bewellug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o.uga.edu/" TargetMode="External"/><Relationship Id="rId4" Type="http://schemas.openxmlformats.org/officeDocument/2006/relationships/webSettings" Target="webSettings.xml"/><Relationship Id="rId9" Type="http://schemas.openxmlformats.org/officeDocument/2006/relationships/hyperlink" Target="http://www.uga.edu/ovp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2527</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TAMU</Company>
  <LinksUpToDate>false</LinksUpToDate>
  <CharactersWithSpaces>16436</CharactersWithSpaces>
  <SharedDoc>false</SharedDoc>
  <HLinks>
    <vt:vector size="12" baseType="variant">
      <vt:variant>
        <vt:i4>6422560</vt:i4>
      </vt:variant>
      <vt:variant>
        <vt:i4>3</vt:i4>
      </vt:variant>
      <vt:variant>
        <vt:i4>0</vt:i4>
      </vt:variant>
      <vt:variant>
        <vt:i4>5</vt:i4>
      </vt:variant>
      <vt:variant>
        <vt:lpwstr>http://aggiehonor.tamu.edu/</vt:lpwstr>
      </vt:variant>
      <vt:variant>
        <vt:lpwstr/>
      </vt:variant>
      <vt:variant>
        <vt:i4>7077931</vt:i4>
      </vt:variant>
      <vt:variant>
        <vt:i4>0</vt:i4>
      </vt:variant>
      <vt:variant>
        <vt:i4>0</vt:i4>
      </vt:variant>
      <vt:variant>
        <vt:i4>5</vt:i4>
      </vt:variant>
      <vt:variant>
        <vt:lpwstr>http://disability.tamu.edu/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Williams</dc:creator>
  <cp:keywords/>
  <cp:lastModifiedBy>Edward Keaton Boney</cp:lastModifiedBy>
  <cp:revision>2</cp:revision>
  <cp:lastPrinted>2021-11-19T21:42:00Z</cp:lastPrinted>
  <dcterms:created xsi:type="dcterms:W3CDTF">2023-08-16T15:12:00Z</dcterms:created>
  <dcterms:modified xsi:type="dcterms:W3CDTF">2023-08-16T15:12:00Z</dcterms:modified>
</cp:coreProperties>
</file>