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BBD0" w14:textId="77777777" w:rsidR="00BE2B3C" w:rsidRPr="00A030D1" w:rsidRDefault="00BE2B3C" w:rsidP="00BE2B3C">
      <w:pPr>
        <w:contextualSpacing/>
        <w:rPr>
          <w:rFonts w:cstheme="minorHAnsi"/>
          <w:b/>
          <w:u w:val="single"/>
        </w:rPr>
      </w:pPr>
      <w:r w:rsidRPr="00A030D1">
        <w:rPr>
          <w:rFonts w:cstheme="minorHAnsi"/>
          <w:b/>
          <w:u w:val="single"/>
        </w:rPr>
        <w:t>Course Description</w:t>
      </w:r>
    </w:p>
    <w:p w14:paraId="6F33F8D2" w14:textId="77777777" w:rsidR="00BE2B3C" w:rsidRPr="00BE2B3C" w:rsidRDefault="00BE2B3C" w:rsidP="00BE2B3C">
      <w:pPr>
        <w:contextualSpacing/>
        <w:rPr>
          <w:rFonts w:cstheme="minorHAnsi"/>
        </w:rPr>
      </w:pPr>
    </w:p>
    <w:p w14:paraId="37DD7D76" w14:textId="43C88FFF" w:rsidR="00BE2B3C" w:rsidRPr="00BE2B3C" w:rsidRDefault="00BE2B3C" w:rsidP="00BE2B3C">
      <w:pPr>
        <w:rPr>
          <w:rFonts w:cstheme="minorHAnsi"/>
          <w:b/>
        </w:rPr>
      </w:pPr>
      <w:r w:rsidRPr="00BE2B3C">
        <w:rPr>
          <w:rFonts w:cstheme="minorHAnsi"/>
        </w:rPr>
        <w:t xml:space="preserve">This course will use the interstate dispute between Alabama, Florida and Georgia over the shared river basins of the </w:t>
      </w:r>
      <w:r w:rsidR="005962CB" w:rsidRPr="00BE2B3C">
        <w:rPr>
          <w:rFonts w:cstheme="minorHAnsi"/>
        </w:rPr>
        <w:t>Apalachicola</w:t>
      </w:r>
      <w:r w:rsidRPr="00BE2B3C">
        <w:rPr>
          <w:rFonts w:cstheme="minorHAnsi"/>
        </w:rPr>
        <w:t xml:space="preserve">-Flint-Chattahoochee (ACF) and the Alabama-Coosa-Tallapoosa (ACT), popularly known as the “Tri-state Water Wars,” as the framework to explore issues around the application of federal and state environmental legislation in the context of shared river basins, the interaction of statutory law and common law in the area of water resources, the interplay of federalism in our constitutional structure as it relates to the application of law and regulation in this context, and the legal and regulatory elements involved in Original Action Case No. 142, </w:t>
      </w:r>
      <w:r w:rsidRPr="00BE2B3C">
        <w:rPr>
          <w:rFonts w:cstheme="minorHAnsi"/>
          <w:i/>
        </w:rPr>
        <w:t>Florida v. Georgia</w:t>
      </w:r>
      <w:r w:rsidR="00390A8B">
        <w:rPr>
          <w:rFonts w:cstheme="minorHAnsi"/>
          <w:i/>
        </w:rPr>
        <w:t xml:space="preserve"> - </w:t>
      </w:r>
      <w:r w:rsidR="00390A8B">
        <w:rPr>
          <w:rFonts w:cstheme="minorHAnsi"/>
        </w:rPr>
        <w:t>i</w:t>
      </w:r>
      <w:r w:rsidRPr="00BE2B3C">
        <w:rPr>
          <w:rFonts w:cstheme="minorHAnsi"/>
        </w:rPr>
        <w:t>n which Florida sued Georgia in the United States Supreme Court seeking an equitable apportionment of the water resources of the ACF basin.  The course will also explore the complexities around the negotiation of interstate compacts over shared water basins in the context of the ACF and ACT disputes.</w:t>
      </w:r>
    </w:p>
    <w:p w14:paraId="4722E45E" w14:textId="77777777" w:rsidR="00B7117C" w:rsidRDefault="00197D26" w:rsidP="00B7117C">
      <w:pPr>
        <w:contextualSpacing/>
        <w:rPr>
          <w:rFonts w:cstheme="minorHAnsi"/>
        </w:rPr>
      </w:pPr>
      <w:r>
        <w:rPr>
          <w:rFonts w:cstheme="minorHAnsi"/>
          <w:b/>
          <w:u w:val="single"/>
        </w:rPr>
        <w:t xml:space="preserve">Tentative </w:t>
      </w:r>
      <w:r w:rsidR="00A030D1" w:rsidRPr="00A030D1">
        <w:rPr>
          <w:rFonts w:cstheme="minorHAnsi"/>
          <w:b/>
          <w:u w:val="single"/>
        </w:rPr>
        <w:t>Class Schedule</w:t>
      </w:r>
      <w:r w:rsidR="00D17B1F">
        <w:rPr>
          <w:rFonts w:cstheme="minorHAnsi"/>
        </w:rPr>
        <w:t xml:space="preserve"> </w:t>
      </w:r>
    </w:p>
    <w:p w14:paraId="209FD573" w14:textId="77777777" w:rsidR="00B7117C" w:rsidRPr="00B7117C" w:rsidRDefault="00B7117C" w:rsidP="00B7117C">
      <w:pPr>
        <w:contextualSpacing/>
        <w:rPr>
          <w:rFonts w:cstheme="minorHAnsi"/>
          <w:i/>
        </w:rPr>
      </w:pPr>
      <w:r>
        <w:rPr>
          <w:rFonts w:cstheme="minorHAnsi"/>
          <w:i/>
        </w:rPr>
        <w:t>Disclaimer: the course syllabus is a general plan for the course; deviations announced to the class by the instructor may be required</w:t>
      </w:r>
    </w:p>
    <w:p w14:paraId="2ECC5473" w14:textId="77777777" w:rsidR="00B7117C" w:rsidRPr="00B7117C" w:rsidRDefault="00B7117C" w:rsidP="00B7117C">
      <w:pPr>
        <w:contextualSpacing/>
        <w:rPr>
          <w:rFonts w:cstheme="minorHAnsi"/>
        </w:rPr>
      </w:pPr>
    </w:p>
    <w:p w14:paraId="6FD0980A" w14:textId="74A41D9D" w:rsidR="00724900" w:rsidRDefault="00D225C0">
      <w:pPr>
        <w:contextualSpacing/>
        <w:rPr>
          <w:rFonts w:cstheme="minorHAnsi"/>
          <w:b/>
        </w:rPr>
      </w:pPr>
      <w:r w:rsidRPr="00CE2419">
        <w:rPr>
          <w:rFonts w:cstheme="minorHAnsi"/>
          <w:b/>
          <w:u w:val="single"/>
        </w:rPr>
        <w:t xml:space="preserve">Class #1 </w:t>
      </w:r>
      <w:r w:rsidR="0039679F" w:rsidRPr="00BE2B3C">
        <w:rPr>
          <w:rFonts w:cstheme="minorHAnsi"/>
          <w:b/>
        </w:rPr>
        <w:t>–</w:t>
      </w:r>
      <w:r w:rsidR="00724900" w:rsidRPr="00BE2B3C">
        <w:rPr>
          <w:rFonts w:cstheme="minorHAnsi"/>
          <w:b/>
        </w:rPr>
        <w:t xml:space="preserve"> </w:t>
      </w:r>
      <w:r w:rsidR="0039679F" w:rsidRPr="00BE2B3C">
        <w:rPr>
          <w:rFonts w:cstheme="minorHAnsi"/>
          <w:b/>
        </w:rPr>
        <w:t>(A</w:t>
      </w:r>
      <w:r w:rsidR="00D21AAC" w:rsidRPr="00BE2B3C">
        <w:rPr>
          <w:rFonts w:cstheme="minorHAnsi"/>
          <w:b/>
        </w:rPr>
        <w:t>ugust 1</w:t>
      </w:r>
      <w:r w:rsidR="005962CB">
        <w:rPr>
          <w:rFonts w:cstheme="minorHAnsi"/>
          <w:b/>
        </w:rPr>
        <w:t>7</w:t>
      </w:r>
      <w:r w:rsidR="0039679F" w:rsidRPr="00BE2B3C">
        <w:rPr>
          <w:rFonts w:cstheme="minorHAnsi"/>
          <w:b/>
        </w:rPr>
        <w:t xml:space="preserve">) - </w:t>
      </w:r>
      <w:r w:rsidR="00724900" w:rsidRPr="00BE2B3C">
        <w:rPr>
          <w:rFonts w:cstheme="minorHAnsi"/>
          <w:b/>
        </w:rPr>
        <w:t>INTRO TO CLASS</w:t>
      </w:r>
      <w:r w:rsidRPr="00BE2B3C">
        <w:rPr>
          <w:rFonts w:cstheme="minorHAnsi"/>
          <w:b/>
        </w:rPr>
        <w:t xml:space="preserve"> </w:t>
      </w:r>
      <w:r w:rsidR="00D22121" w:rsidRPr="00BE2B3C">
        <w:rPr>
          <w:rFonts w:cstheme="minorHAnsi"/>
          <w:b/>
        </w:rPr>
        <w:t>–</w:t>
      </w:r>
      <w:r w:rsidRPr="00BE2B3C">
        <w:rPr>
          <w:rFonts w:cstheme="minorHAnsi"/>
          <w:b/>
        </w:rPr>
        <w:t xml:space="preserve"> OVERVIEW</w:t>
      </w:r>
    </w:p>
    <w:p w14:paraId="3065B6CA" w14:textId="77777777" w:rsidR="00390A8B" w:rsidRDefault="00390A8B">
      <w:pPr>
        <w:contextualSpacing/>
        <w:rPr>
          <w:rFonts w:cstheme="minorHAnsi"/>
          <w:b/>
        </w:rPr>
      </w:pPr>
    </w:p>
    <w:p w14:paraId="4922204D" w14:textId="77777777" w:rsidR="00390A8B" w:rsidRPr="00BE2B3C" w:rsidRDefault="00390A8B">
      <w:pPr>
        <w:contextualSpacing/>
        <w:rPr>
          <w:rFonts w:cstheme="minorHAnsi"/>
          <w:b/>
        </w:rPr>
      </w:pPr>
      <w:r>
        <w:rPr>
          <w:rFonts w:cstheme="minorHAnsi"/>
          <w:b/>
        </w:rPr>
        <w:t>T</w:t>
      </w:r>
      <w:r w:rsidR="00B771EC">
        <w:rPr>
          <w:rFonts w:cstheme="minorHAnsi"/>
          <w:b/>
        </w:rPr>
        <w:t>he Historical Perspective:</w:t>
      </w:r>
      <w:r>
        <w:rPr>
          <w:rFonts w:cstheme="minorHAnsi"/>
          <w:b/>
        </w:rPr>
        <w:t xml:space="preserve"> Water Resources in the Development of the United States</w:t>
      </w:r>
    </w:p>
    <w:p w14:paraId="3D3DF74D" w14:textId="77777777" w:rsidR="00D22121" w:rsidRPr="00BE2B3C" w:rsidRDefault="00D22121" w:rsidP="00D22121">
      <w:pPr>
        <w:pStyle w:val="ListParagraph"/>
        <w:numPr>
          <w:ilvl w:val="0"/>
          <w:numId w:val="9"/>
        </w:numPr>
        <w:rPr>
          <w:rFonts w:cstheme="minorHAnsi"/>
          <w:b/>
        </w:rPr>
      </w:pPr>
      <w:r w:rsidRPr="00BE2B3C">
        <w:rPr>
          <w:rFonts w:cstheme="minorHAnsi"/>
          <w:u w:val="single"/>
        </w:rPr>
        <w:t>Reading</w:t>
      </w:r>
      <w:r w:rsidRPr="00BE2B3C">
        <w:rPr>
          <w:rFonts w:cstheme="minorHAnsi"/>
        </w:rPr>
        <w:t xml:space="preserve">: </w:t>
      </w:r>
    </w:p>
    <w:p w14:paraId="0D4509D6" w14:textId="77777777" w:rsidR="00D22121" w:rsidRPr="00D22121" w:rsidRDefault="00D22121" w:rsidP="00D22121">
      <w:pPr>
        <w:pStyle w:val="ListParagraph"/>
        <w:numPr>
          <w:ilvl w:val="1"/>
          <w:numId w:val="9"/>
        </w:numPr>
        <w:rPr>
          <w:b/>
        </w:rPr>
      </w:pPr>
      <w:r>
        <w:rPr>
          <w:u w:val="single"/>
        </w:rPr>
        <w:t>The Source: How Rivers Made America and America Remade Its Rivers</w:t>
      </w:r>
    </w:p>
    <w:p w14:paraId="2C970772" w14:textId="77777777" w:rsidR="00D22121" w:rsidRPr="00D22121" w:rsidRDefault="00D22121" w:rsidP="002900C5">
      <w:pPr>
        <w:pStyle w:val="ListParagraph"/>
        <w:numPr>
          <w:ilvl w:val="2"/>
          <w:numId w:val="9"/>
        </w:numPr>
        <w:rPr>
          <w:b/>
        </w:rPr>
      </w:pPr>
      <w:r>
        <w:t xml:space="preserve">Chapter 1 – “Navigating the Republic” – (26 pages) </w:t>
      </w:r>
    </w:p>
    <w:p w14:paraId="39057CCD" w14:textId="77777777" w:rsidR="00D22121" w:rsidRPr="00693FD6" w:rsidRDefault="00D22121" w:rsidP="00693FD6">
      <w:pPr>
        <w:pStyle w:val="ListParagraph"/>
        <w:numPr>
          <w:ilvl w:val="1"/>
          <w:numId w:val="9"/>
        </w:numPr>
        <w:rPr>
          <w:b/>
        </w:rPr>
      </w:pPr>
      <w:r>
        <w:t>Federalist Paper #2</w:t>
      </w:r>
      <w:r w:rsidR="00693FD6">
        <w:t xml:space="preserve"> –</w:t>
      </w:r>
      <w:r w:rsidR="00A87895">
        <w:t xml:space="preserve"> </w:t>
      </w:r>
      <w:r w:rsidR="00693FD6">
        <w:t xml:space="preserve"> </w:t>
      </w:r>
      <w:hyperlink r:id="rId8" w:history="1">
        <w:r w:rsidR="00693FD6" w:rsidRPr="00AE5F31">
          <w:rPr>
            <w:rStyle w:val="Hyperlink"/>
          </w:rPr>
          <w:t>https://guides.loc.gov/federalist-papers/text-1-10</w:t>
        </w:r>
      </w:hyperlink>
    </w:p>
    <w:p w14:paraId="22919CE4" w14:textId="77777777" w:rsidR="00D22121" w:rsidRPr="00693FD6" w:rsidRDefault="00D22121" w:rsidP="00693FD6">
      <w:pPr>
        <w:pStyle w:val="ListParagraph"/>
        <w:numPr>
          <w:ilvl w:val="1"/>
          <w:numId w:val="9"/>
        </w:numPr>
        <w:rPr>
          <w:b/>
        </w:rPr>
      </w:pPr>
      <w:r>
        <w:t>Federalist Paper #11</w:t>
      </w:r>
      <w:r w:rsidR="00693FD6">
        <w:t xml:space="preserve">-  </w:t>
      </w:r>
      <w:hyperlink r:id="rId9" w:history="1">
        <w:r w:rsidR="00693FD6" w:rsidRPr="00AE5F31">
          <w:rPr>
            <w:rStyle w:val="Hyperlink"/>
          </w:rPr>
          <w:t>https://guides.loc.gov/federalist-papers/text-11-20</w:t>
        </w:r>
      </w:hyperlink>
    </w:p>
    <w:p w14:paraId="473C9731" w14:textId="77777777" w:rsidR="00D22121" w:rsidRPr="00693FD6" w:rsidRDefault="00D22121" w:rsidP="00693FD6">
      <w:pPr>
        <w:pStyle w:val="ListParagraph"/>
        <w:numPr>
          <w:ilvl w:val="1"/>
          <w:numId w:val="9"/>
        </w:numPr>
        <w:rPr>
          <w:b/>
        </w:rPr>
      </w:pPr>
      <w:r>
        <w:rPr>
          <w:i/>
        </w:rPr>
        <w:t>Gibbons v. Ogden</w:t>
      </w:r>
      <w:r w:rsidR="00693FD6">
        <w:t xml:space="preserve"> (1824) - </w:t>
      </w:r>
      <w:hyperlink r:id="rId10" w:history="1">
        <w:r w:rsidR="00693FD6" w:rsidRPr="00AE5F31">
          <w:rPr>
            <w:rStyle w:val="Hyperlink"/>
          </w:rPr>
          <w:t>https://www.archives.gov/milestone-documents/gibbons-v-ogden</w:t>
        </w:r>
      </w:hyperlink>
    </w:p>
    <w:p w14:paraId="7A810DC3" w14:textId="77777777" w:rsidR="00724900" w:rsidRDefault="00724900">
      <w:pPr>
        <w:contextualSpacing/>
        <w:rPr>
          <w:b/>
        </w:rPr>
      </w:pPr>
    </w:p>
    <w:p w14:paraId="43F9DF4F" w14:textId="77777777" w:rsidR="00CE57BA" w:rsidRDefault="00CE57BA" w:rsidP="00CE57BA">
      <w:pPr>
        <w:contextualSpacing/>
        <w:rPr>
          <w:b/>
        </w:rPr>
      </w:pPr>
      <w:r w:rsidRPr="00CE2419">
        <w:rPr>
          <w:b/>
          <w:u w:val="single"/>
        </w:rPr>
        <w:t>Class #</w:t>
      </w:r>
      <w:r w:rsidR="00C87571" w:rsidRPr="00CE2419">
        <w:rPr>
          <w:b/>
          <w:u w:val="single"/>
        </w:rPr>
        <w:t>2</w:t>
      </w:r>
      <w:r>
        <w:rPr>
          <w:b/>
        </w:rPr>
        <w:t xml:space="preserve"> – </w:t>
      </w:r>
      <w:r w:rsidR="0039679F">
        <w:rPr>
          <w:b/>
        </w:rPr>
        <w:t>(A</w:t>
      </w:r>
      <w:r w:rsidR="00D21AAC">
        <w:rPr>
          <w:b/>
        </w:rPr>
        <w:t>ugust 24</w:t>
      </w:r>
      <w:r w:rsidR="0039679F">
        <w:rPr>
          <w:b/>
        </w:rPr>
        <w:t xml:space="preserve">) - </w:t>
      </w:r>
      <w:r>
        <w:rPr>
          <w:b/>
        </w:rPr>
        <w:t>Legal and Institutional Framework for Water Management in the U.S.</w:t>
      </w:r>
    </w:p>
    <w:p w14:paraId="63F8C213" w14:textId="77777777" w:rsidR="00CE57BA" w:rsidRPr="00EC0361" w:rsidRDefault="00CE57BA" w:rsidP="00CE57BA">
      <w:pPr>
        <w:pStyle w:val="ListParagraph"/>
        <w:numPr>
          <w:ilvl w:val="0"/>
          <w:numId w:val="8"/>
        </w:numPr>
        <w:rPr>
          <w:b/>
        </w:rPr>
      </w:pPr>
      <w:r>
        <w:rPr>
          <w:u w:val="single"/>
        </w:rPr>
        <w:t>Reading</w:t>
      </w:r>
      <w:r w:rsidRPr="008D0065">
        <w:t>:</w:t>
      </w:r>
      <w:r w:rsidR="008D0065" w:rsidRPr="008D0065">
        <w:t xml:space="preserve"> </w:t>
      </w:r>
      <w:r w:rsidR="008D0065">
        <w:t xml:space="preserve">37 pages </w:t>
      </w:r>
    </w:p>
    <w:p w14:paraId="593A2DB7" w14:textId="77777777" w:rsidR="00CE57BA" w:rsidRPr="00EC0361" w:rsidRDefault="00CE57BA" w:rsidP="00CE57BA">
      <w:pPr>
        <w:pStyle w:val="ListParagraph"/>
        <w:numPr>
          <w:ilvl w:val="1"/>
          <w:numId w:val="8"/>
        </w:numPr>
        <w:rPr>
          <w:b/>
        </w:rPr>
      </w:pPr>
      <w:r>
        <w:rPr>
          <w:u w:val="single"/>
        </w:rPr>
        <w:t>A Twenty-First Century U.S. Water Policy</w:t>
      </w:r>
      <w:r>
        <w:t xml:space="preserve"> </w:t>
      </w:r>
    </w:p>
    <w:p w14:paraId="27F8A504" w14:textId="77777777" w:rsidR="00CE57BA" w:rsidRPr="00EC0361" w:rsidRDefault="00CE57BA" w:rsidP="00981B50">
      <w:pPr>
        <w:pStyle w:val="ListParagraph"/>
        <w:numPr>
          <w:ilvl w:val="2"/>
          <w:numId w:val="8"/>
        </w:numPr>
        <w:rPr>
          <w:b/>
        </w:rPr>
      </w:pPr>
      <w:r>
        <w:t xml:space="preserve">Chapters 1 – “Water of the United States” – (19 pages) </w:t>
      </w:r>
    </w:p>
    <w:p w14:paraId="08DF54A3" w14:textId="77777777" w:rsidR="00CE57BA" w:rsidRPr="00EC0361" w:rsidRDefault="00CE57BA" w:rsidP="00981B50">
      <w:pPr>
        <w:pStyle w:val="ListParagraph"/>
        <w:numPr>
          <w:ilvl w:val="2"/>
          <w:numId w:val="8"/>
        </w:numPr>
        <w:rPr>
          <w:b/>
        </w:rPr>
      </w:pPr>
      <w:r>
        <w:t xml:space="preserve">Chapter 2 – “Legal and Institutional Framework for Water Management in the United States” – (28 pages) </w:t>
      </w:r>
    </w:p>
    <w:p w14:paraId="7ABE9DF2" w14:textId="77777777" w:rsidR="00CE57BA" w:rsidRDefault="00CE57BA" w:rsidP="00CE57BA">
      <w:pPr>
        <w:contextualSpacing/>
        <w:rPr>
          <w:b/>
        </w:rPr>
      </w:pPr>
    </w:p>
    <w:p w14:paraId="7DBE379C" w14:textId="77777777" w:rsidR="00724900" w:rsidRDefault="00724900">
      <w:pPr>
        <w:contextualSpacing/>
        <w:rPr>
          <w:b/>
        </w:rPr>
      </w:pPr>
      <w:r w:rsidRPr="00CE2419">
        <w:rPr>
          <w:b/>
          <w:u w:val="single"/>
        </w:rPr>
        <w:t xml:space="preserve">Class </w:t>
      </w:r>
      <w:r w:rsidR="00C87571" w:rsidRPr="00CE2419">
        <w:rPr>
          <w:b/>
          <w:u w:val="single"/>
        </w:rPr>
        <w:t>#3</w:t>
      </w:r>
      <w:r>
        <w:rPr>
          <w:b/>
        </w:rPr>
        <w:t xml:space="preserve"> – </w:t>
      </w:r>
      <w:r w:rsidR="00D21AAC">
        <w:rPr>
          <w:b/>
        </w:rPr>
        <w:t>(August 31</w:t>
      </w:r>
      <w:r w:rsidR="0039679F">
        <w:rPr>
          <w:b/>
        </w:rPr>
        <w:t xml:space="preserve">) - </w:t>
      </w:r>
      <w:r>
        <w:rPr>
          <w:b/>
        </w:rPr>
        <w:t>Water Law Basic Concepts</w:t>
      </w:r>
    </w:p>
    <w:p w14:paraId="05684EB1" w14:textId="77777777" w:rsidR="00221B07" w:rsidRPr="00221B07" w:rsidRDefault="00221B07" w:rsidP="00221B07">
      <w:pPr>
        <w:pStyle w:val="ListParagraph"/>
        <w:numPr>
          <w:ilvl w:val="0"/>
          <w:numId w:val="8"/>
        </w:numPr>
        <w:rPr>
          <w:b/>
        </w:rPr>
      </w:pPr>
      <w:r>
        <w:rPr>
          <w:u w:val="single"/>
        </w:rPr>
        <w:t>Reading</w:t>
      </w:r>
      <w:r w:rsidRPr="008D0065">
        <w:t>:</w:t>
      </w:r>
      <w:r w:rsidR="008D0065" w:rsidRPr="008D0065">
        <w:t xml:space="preserve"> </w:t>
      </w:r>
      <w:r w:rsidR="008D0065">
        <w:t xml:space="preserve">75 pages </w:t>
      </w:r>
    </w:p>
    <w:p w14:paraId="0D9F88E3" w14:textId="77777777" w:rsidR="00CE57BA" w:rsidRPr="00CE57BA" w:rsidRDefault="00221B07" w:rsidP="00221B07">
      <w:pPr>
        <w:pStyle w:val="ListParagraph"/>
        <w:numPr>
          <w:ilvl w:val="1"/>
          <w:numId w:val="8"/>
        </w:numPr>
        <w:rPr>
          <w:b/>
        </w:rPr>
      </w:pPr>
      <w:r>
        <w:rPr>
          <w:u w:val="single"/>
        </w:rPr>
        <w:t>Water Law</w:t>
      </w:r>
      <w:r w:rsidR="00EC0361">
        <w:t xml:space="preserve"> </w:t>
      </w:r>
    </w:p>
    <w:p w14:paraId="3C5322DD" w14:textId="77777777" w:rsidR="00CE57BA" w:rsidRPr="00CE57BA" w:rsidRDefault="00CE57BA" w:rsidP="00CE57BA">
      <w:pPr>
        <w:pStyle w:val="ListParagraph"/>
        <w:numPr>
          <w:ilvl w:val="2"/>
          <w:numId w:val="8"/>
        </w:numPr>
        <w:rPr>
          <w:b/>
        </w:rPr>
      </w:pPr>
      <w:r>
        <w:t>Chapter 1 – “Introduction to Water Law – (14 pages)</w:t>
      </w:r>
    </w:p>
    <w:p w14:paraId="5C6D4D2D" w14:textId="77777777" w:rsidR="00CE57BA" w:rsidRPr="00CE57BA" w:rsidRDefault="00CE57BA" w:rsidP="00CE57BA">
      <w:pPr>
        <w:pStyle w:val="ListParagraph"/>
        <w:numPr>
          <w:ilvl w:val="2"/>
          <w:numId w:val="8"/>
        </w:numPr>
        <w:rPr>
          <w:b/>
        </w:rPr>
      </w:pPr>
      <w:r>
        <w:t xml:space="preserve">Chapter 2 – “Riparian Law” – (24 pages) </w:t>
      </w:r>
    </w:p>
    <w:p w14:paraId="6836AFD5" w14:textId="77777777" w:rsidR="00221B07" w:rsidRPr="00390A8B" w:rsidRDefault="00CE57BA" w:rsidP="00CE57BA">
      <w:pPr>
        <w:pStyle w:val="ListParagraph"/>
        <w:numPr>
          <w:ilvl w:val="2"/>
          <w:numId w:val="8"/>
        </w:numPr>
        <w:rPr>
          <w:b/>
        </w:rPr>
      </w:pPr>
      <w:r>
        <w:lastRenderedPageBreak/>
        <w:t xml:space="preserve">Chapter 3 – “Dealing with Western Water Law Realities: </w:t>
      </w:r>
      <w:proofErr w:type="gramStart"/>
      <w:r>
        <w:t>the</w:t>
      </w:r>
      <w:proofErr w:type="gramEnd"/>
      <w:r>
        <w:t xml:space="preserve"> Creation and Adoption of Prior Appropriation” - (21 pages)</w:t>
      </w:r>
      <w:r w:rsidR="00EC0361">
        <w:t xml:space="preserve"> </w:t>
      </w:r>
    </w:p>
    <w:p w14:paraId="15045B38" w14:textId="77777777" w:rsidR="00390A8B" w:rsidRPr="00EC0361" w:rsidRDefault="00390A8B" w:rsidP="00197D26">
      <w:pPr>
        <w:pStyle w:val="ListParagraph"/>
        <w:ind w:left="2160"/>
        <w:rPr>
          <w:b/>
        </w:rPr>
      </w:pPr>
    </w:p>
    <w:p w14:paraId="632C28D7" w14:textId="77777777" w:rsidR="00CE57BA" w:rsidRPr="00CE57BA" w:rsidRDefault="00EC0361" w:rsidP="00221B07">
      <w:pPr>
        <w:pStyle w:val="ListParagraph"/>
        <w:numPr>
          <w:ilvl w:val="1"/>
          <w:numId w:val="8"/>
        </w:numPr>
        <w:rPr>
          <w:b/>
        </w:rPr>
      </w:pPr>
      <w:r>
        <w:rPr>
          <w:u w:val="single"/>
        </w:rPr>
        <w:t>Whose Drop I</w:t>
      </w:r>
      <w:r w:rsidR="00CE57BA">
        <w:rPr>
          <w:u w:val="single"/>
        </w:rPr>
        <w:t>s I</w:t>
      </w:r>
      <w:r>
        <w:rPr>
          <w:u w:val="single"/>
        </w:rPr>
        <w:t>t Anyway</w:t>
      </w:r>
      <w:r w:rsidRPr="00EC0361">
        <w:rPr>
          <w:b/>
        </w:rPr>
        <w:t>?</w:t>
      </w:r>
      <w:r>
        <w:t xml:space="preserve"> </w:t>
      </w:r>
    </w:p>
    <w:p w14:paraId="3027B478" w14:textId="77777777" w:rsidR="00EC0361" w:rsidRPr="00D225C0" w:rsidRDefault="00EC0361" w:rsidP="00CE57BA">
      <w:pPr>
        <w:pStyle w:val="ListParagraph"/>
        <w:numPr>
          <w:ilvl w:val="2"/>
          <w:numId w:val="8"/>
        </w:numPr>
        <w:rPr>
          <w:b/>
        </w:rPr>
      </w:pPr>
      <w:r>
        <w:t>Chapter 2 –</w:t>
      </w:r>
      <w:r w:rsidR="00CE57BA">
        <w:t xml:space="preserve"> “The East and West Converge: Prior Appropriation Meets Regulated Riparianism” -</w:t>
      </w:r>
      <w:r>
        <w:t xml:space="preserve"> (16 pages)</w:t>
      </w:r>
    </w:p>
    <w:p w14:paraId="7E433CCD" w14:textId="77777777" w:rsidR="00D225C0" w:rsidRPr="00C87571" w:rsidRDefault="00D225C0" w:rsidP="00D225C0">
      <w:pPr>
        <w:pStyle w:val="ListParagraph"/>
        <w:ind w:left="2160"/>
        <w:rPr>
          <w:b/>
        </w:rPr>
      </w:pPr>
    </w:p>
    <w:p w14:paraId="7480832C" w14:textId="77777777" w:rsidR="00C87571" w:rsidRDefault="00C87571" w:rsidP="00C87571">
      <w:pPr>
        <w:contextualSpacing/>
        <w:rPr>
          <w:b/>
        </w:rPr>
      </w:pPr>
      <w:r w:rsidRPr="00CE2419">
        <w:rPr>
          <w:b/>
          <w:u w:val="single"/>
        </w:rPr>
        <w:t>Class #4</w:t>
      </w:r>
      <w:r>
        <w:rPr>
          <w:b/>
        </w:rPr>
        <w:t xml:space="preserve"> </w:t>
      </w:r>
      <w:r w:rsidR="0039679F">
        <w:rPr>
          <w:b/>
        </w:rPr>
        <w:t>–</w:t>
      </w:r>
      <w:r>
        <w:rPr>
          <w:b/>
        </w:rPr>
        <w:t xml:space="preserve"> </w:t>
      </w:r>
      <w:r w:rsidR="0039679F">
        <w:rPr>
          <w:b/>
        </w:rPr>
        <w:t>(S</w:t>
      </w:r>
      <w:r w:rsidR="00D21AAC">
        <w:rPr>
          <w:b/>
        </w:rPr>
        <w:t>eptember 7</w:t>
      </w:r>
      <w:r w:rsidR="0039679F">
        <w:rPr>
          <w:b/>
        </w:rPr>
        <w:t xml:space="preserve">) - </w:t>
      </w:r>
      <w:r>
        <w:rPr>
          <w:b/>
        </w:rPr>
        <w:t xml:space="preserve">The Nature of Subnational </w:t>
      </w:r>
      <w:proofErr w:type="spellStart"/>
      <w:r>
        <w:rPr>
          <w:b/>
        </w:rPr>
        <w:t>Hydropolitics</w:t>
      </w:r>
      <w:proofErr w:type="spellEnd"/>
    </w:p>
    <w:p w14:paraId="0135352F" w14:textId="77777777" w:rsidR="00C87571" w:rsidRPr="008D0065" w:rsidRDefault="00C87571" w:rsidP="00C87571">
      <w:pPr>
        <w:pStyle w:val="ListParagraph"/>
        <w:numPr>
          <w:ilvl w:val="0"/>
          <w:numId w:val="8"/>
        </w:numPr>
        <w:rPr>
          <w:u w:val="single"/>
        </w:rPr>
      </w:pPr>
      <w:r>
        <w:rPr>
          <w:u w:val="single"/>
        </w:rPr>
        <w:t>Reading</w:t>
      </w:r>
      <w:r w:rsidRPr="008D0065">
        <w:t xml:space="preserve">: </w:t>
      </w:r>
      <w:r>
        <w:t xml:space="preserve">82 pages </w:t>
      </w:r>
    </w:p>
    <w:p w14:paraId="71460BD6" w14:textId="77777777" w:rsidR="00C87571" w:rsidRPr="00CE57BA" w:rsidRDefault="00C87571" w:rsidP="00C87571">
      <w:pPr>
        <w:pStyle w:val="ListParagraph"/>
        <w:numPr>
          <w:ilvl w:val="1"/>
          <w:numId w:val="8"/>
        </w:numPr>
        <w:rPr>
          <w:u w:val="single"/>
        </w:rPr>
      </w:pPr>
      <w:r>
        <w:rPr>
          <w:u w:val="single"/>
        </w:rPr>
        <w:t xml:space="preserve">Subnational </w:t>
      </w:r>
      <w:proofErr w:type="spellStart"/>
      <w:r>
        <w:rPr>
          <w:u w:val="single"/>
        </w:rPr>
        <w:t>Hydropolitics</w:t>
      </w:r>
      <w:proofErr w:type="spellEnd"/>
      <w:r>
        <w:t xml:space="preserve"> –</w:t>
      </w:r>
    </w:p>
    <w:p w14:paraId="274100B0" w14:textId="77777777" w:rsidR="00C87571" w:rsidRPr="00CE57BA" w:rsidRDefault="00C87571" w:rsidP="00C87571">
      <w:pPr>
        <w:pStyle w:val="ListParagraph"/>
        <w:numPr>
          <w:ilvl w:val="2"/>
          <w:numId w:val="8"/>
        </w:numPr>
        <w:rPr>
          <w:u w:val="single"/>
        </w:rPr>
      </w:pPr>
      <w:r>
        <w:t>Introduction – (18 pages)</w:t>
      </w:r>
    </w:p>
    <w:p w14:paraId="03C42D31" w14:textId="77777777" w:rsidR="00C87571" w:rsidRPr="002F700F" w:rsidRDefault="00C87571" w:rsidP="00C87571">
      <w:pPr>
        <w:pStyle w:val="ListParagraph"/>
        <w:numPr>
          <w:ilvl w:val="2"/>
          <w:numId w:val="8"/>
        </w:numPr>
        <w:rPr>
          <w:u w:val="single"/>
        </w:rPr>
      </w:pPr>
      <w:r>
        <w:t>Chapter 1 – “Deconstructing the State: Subnational Conflict and Cooperation Over Water” – (15 pages)</w:t>
      </w:r>
    </w:p>
    <w:p w14:paraId="18066EB2" w14:textId="77777777" w:rsidR="00C87571" w:rsidRPr="008D0065" w:rsidRDefault="00C87571" w:rsidP="00C87571">
      <w:pPr>
        <w:pStyle w:val="ListParagraph"/>
        <w:numPr>
          <w:ilvl w:val="2"/>
          <w:numId w:val="8"/>
        </w:numPr>
        <w:rPr>
          <w:u w:val="single"/>
        </w:rPr>
      </w:pPr>
      <w:r>
        <w:t>Chapter 2 – “Constrained Collective Action” – (15 pages)</w:t>
      </w:r>
    </w:p>
    <w:p w14:paraId="49D1577D" w14:textId="77777777" w:rsidR="00C87571" w:rsidRPr="00724900" w:rsidRDefault="00C87571" w:rsidP="00C87571">
      <w:pPr>
        <w:pStyle w:val="ListParagraph"/>
        <w:numPr>
          <w:ilvl w:val="2"/>
          <w:numId w:val="8"/>
        </w:numPr>
        <w:rPr>
          <w:u w:val="single"/>
        </w:rPr>
      </w:pPr>
      <w:r>
        <w:t xml:space="preserve">Chapter 4 – “Institutional Diversity and </w:t>
      </w:r>
      <w:proofErr w:type="spellStart"/>
      <w:r>
        <w:t>Hydropolitics</w:t>
      </w:r>
      <w:proofErr w:type="spellEnd"/>
      <w:r>
        <w:t xml:space="preserve"> in the United States” – (33 pages) </w:t>
      </w:r>
    </w:p>
    <w:p w14:paraId="7F16326B" w14:textId="77777777" w:rsidR="00D22121" w:rsidRDefault="00724900">
      <w:pPr>
        <w:contextualSpacing/>
        <w:rPr>
          <w:b/>
        </w:rPr>
      </w:pPr>
      <w:r w:rsidRPr="00CE2419">
        <w:rPr>
          <w:b/>
          <w:u w:val="single"/>
        </w:rPr>
        <w:t>Class #5</w:t>
      </w:r>
      <w:r>
        <w:rPr>
          <w:b/>
        </w:rPr>
        <w:t xml:space="preserve"> – </w:t>
      </w:r>
      <w:r w:rsidR="0039679F">
        <w:rPr>
          <w:b/>
        </w:rPr>
        <w:t>(S</w:t>
      </w:r>
      <w:r w:rsidR="00D21AAC">
        <w:rPr>
          <w:b/>
        </w:rPr>
        <w:t>eptember 14</w:t>
      </w:r>
      <w:r w:rsidR="0039679F">
        <w:rPr>
          <w:b/>
        </w:rPr>
        <w:t xml:space="preserve">) </w:t>
      </w:r>
      <w:r w:rsidR="00D22121">
        <w:rPr>
          <w:b/>
        </w:rPr>
        <w:t>–</w:t>
      </w:r>
      <w:r w:rsidR="0039679F">
        <w:rPr>
          <w:b/>
        </w:rPr>
        <w:t xml:space="preserve"> </w:t>
      </w:r>
      <w:r w:rsidR="00D22121">
        <w:rPr>
          <w:b/>
        </w:rPr>
        <w:t xml:space="preserve">Key Federal Water Interests </w:t>
      </w:r>
      <w:r w:rsidR="00693FD6">
        <w:rPr>
          <w:b/>
        </w:rPr>
        <w:t xml:space="preserve">(in the </w:t>
      </w:r>
      <w:r w:rsidR="00D22121">
        <w:rPr>
          <w:b/>
        </w:rPr>
        <w:t>East</w:t>
      </w:r>
      <w:r w:rsidR="00693FD6">
        <w:rPr>
          <w:b/>
        </w:rPr>
        <w:t>ern U.S.)</w:t>
      </w:r>
      <w:r w:rsidR="00D22121">
        <w:rPr>
          <w:b/>
        </w:rPr>
        <w:t xml:space="preserve"> – Navigation, Flood Control and Hydropower Generation</w:t>
      </w:r>
    </w:p>
    <w:p w14:paraId="1199352D" w14:textId="77777777" w:rsidR="00D22121" w:rsidRPr="00D22121" w:rsidRDefault="00D22121" w:rsidP="00D22121">
      <w:pPr>
        <w:pStyle w:val="ListParagraph"/>
        <w:numPr>
          <w:ilvl w:val="0"/>
          <w:numId w:val="8"/>
        </w:numPr>
        <w:rPr>
          <w:b/>
        </w:rPr>
      </w:pPr>
      <w:r>
        <w:rPr>
          <w:u w:val="single"/>
        </w:rPr>
        <w:t>Reading</w:t>
      </w:r>
      <w:r>
        <w:t>:</w:t>
      </w:r>
      <w:r w:rsidR="00693FD6">
        <w:t xml:space="preserve"> 97 pages </w:t>
      </w:r>
    </w:p>
    <w:p w14:paraId="3D99AE07" w14:textId="77777777" w:rsidR="00D22121" w:rsidRPr="00D22121" w:rsidRDefault="00D22121" w:rsidP="009E7477">
      <w:pPr>
        <w:pStyle w:val="ListParagraph"/>
        <w:numPr>
          <w:ilvl w:val="1"/>
          <w:numId w:val="8"/>
        </w:numPr>
        <w:rPr>
          <w:b/>
        </w:rPr>
      </w:pPr>
      <w:r>
        <w:rPr>
          <w:u w:val="single"/>
        </w:rPr>
        <w:t>21st Century Water Policy</w:t>
      </w:r>
    </w:p>
    <w:p w14:paraId="4BB6229A" w14:textId="77777777" w:rsidR="00D22121" w:rsidRPr="00D22121" w:rsidRDefault="00D22121" w:rsidP="009E7477">
      <w:pPr>
        <w:pStyle w:val="ListParagraph"/>
        <w:numPr>
          <w:ilvl w:val="2"/>
          <w:numId w:val="8"/>
        </w:numPr>
        <w:rPr>
          <w:b/>
        </w:rPr>
      </w:pPr>
      <w:r>
        <w:t>Chapter 9 – “Water and Energy”</w:t>
      </w:r>
      <w:r w:rsidR="00693FD6">
        <w:t xml:space="preserve"> – (23 pages)</w:t>
      </w:r>
    </w:p>
    <w:p w14:paraId="255A428B" w14:textId="77777777" w:rsidR="00D22121" w:rsidRPr="00D22121" w:rsidRDefault="00D22121" w:rsidP="009E7477">
      <w:pPr>
        <w:pStyle w:val="ListParagraph"/>
        <w:numPr>
          <w:ilvl w:val="1"/>
          <w:numId w:val="8"/>
        </w:numPr>
        <w:rPr>
          <w:b/>
        </w:rPr>
      </w:pPr>
      <w:r>
        <w:rPr>
          <w:u w:val="single"/>
        </w:rPr>
        <w:t>The Source: How Rivers Made America and America Remade Its Rivers</w:t>
      </w:r>
    </w:p>
    <w:p w14:paraId="12B784BF" w14:textId="77777777" w:rsidR="00D22121" w:rsidRPr="00D22121" w:rsidRDefault="00D22121" w:rsidP="009E7477">
      <w:pPr>
        <w:pStyle w:val="ListParagraph"/>
        <w:numPr>
          <w:ilvl w:val="2"/>
          <w:numId w:val="8"/>
        </w:numPr>
        <w:rPr>
          <w:b/>
        </w:rPr>
      </w:pPr>
      <w:r>
        <w:t>Chapter 4 – “Flood Control”</w:t>
      </w:r>
      <w:r w:rsidR="00693FD6">
        <w:t xml:space="preserve"> – (37 pages)</w:t>
      </w:r>
    </w:p>
    <w:p w14:paraId="256C5A59" w14:textId="77777777" w:rsidR="00D22121" w:rsidRPr="00D22121" w:rsidRDefault="00D22121" w:rsidP="009E7477">
      <w:pPr>
        <w:pStyle w:val="ListParagraph"/>
        <w:numPr>
          <w:ilvl w:val="2"/>
          <w:numId w:val="8"/>
        </w:numPr>
        <w:rPr>
          <w:b/>
        </w:rPr>
      </w:pPr>
      <w:r>
        <w:t>Chapter 9 – “Regulating Power”</w:t>
      </w:r>
      <w:r w:rsidR="00693FD6">
        <w:t xml:space="preserve"> – (11 pages)</w:t>
      </w:r>
    </w:p>
    <w:p w14:paraId="48D2BC55" w14:textId="77777777" w:rsidR="00D22121" w:rsidRPr="00D22121" w:rsidRDefault="00D22121" w:rsidP="009E7477">
      <w:pPr>
        <w:pStyle w:val="ListParagraph"/>
        <w:numPr>
          <w:ilvl w:val="2"/>
          <w:numId w:val="8"/>
        </w:numPr>
        <w:rPr>
          <w:b/>
        </w:rPr>
      </w:pPr>
      <w:r>
        <w:t>Chapter 10 – “Power of the River”</w:t>
      </w:r>
      <w:r w:rsidR="00693FD6">
        <w:t xml:space="preserve"> – (27 pages)</w:t>
      </w:r>
    </w:p>
    <w:p w14:paraId="578FE4F7" w14:textId="77777777" w:rsidR="00D22121" w:rsidRDefault="00D22121">
      <w:pPr>
        <w:contextualSpacing/>
        <w:rPr>
          <w:b/>
        </w:rPr>
      </w:pPr>
    </w:p>
    <w:p w14:paraId="464FBAA3" w14:textId="77777777" w:rsidR="00724900" w:rsidRDefault="00724900">
      <w:pPr>
        <w:contextualSpacing/>
        <w:rPr>
          <w:b/>
        </w:rPr>
      </w:pPr>
      <w:r>
        <w:rPr>
          <w:b/>
        </w:rPr>
        <w:t>ACF Basin Background and Key History</w:t>
      </w:r>
    </w:p>
    <w:p w14:paraId="7BB7D00F" w14:textId="77777777" w:rsidR="005235FB" w:rsidRPr="00485CE9" w:rsidRDefault="005235FB" w:rsidP="005235FB">
      <w:pPr>
        <w:pStyle w:val="ListParagraph"/>
        <w:numPr>
          <w:ilvl w:val="0"/>
          <w:numId w:val="1"/>
        </w:numPr>
        <w:rPr>
          <w:b/>
          <w:u w:val="single"/>
        </w:rPr>
      </w:pPr>
      <w:r w:rsidRPr="00485CE9">
        <w:rPr>
          <w:u w:val="single"/>
        </w:rPr>
        <w:t>Background</w:t>
      </w:r>
      <w:r w:rsidR="00485CE9" w:rsidRPr="00485CE9">
        <w:rPr>
          <w:u w:val="single"/>
        </w:rPr>
        <w:t xml:space="preserve"> - Overview</w:t>
      </w:r>
    </w:p>
    <w:p w14:paraId="55B5CF47" w14:textId="77777777" w:rsidR="005235FB" w:rsidRPr="002900C5" w:rsidRDefault="005235FB" w:rsidP="005235FB">
      <w:pPr>
        <w:pStyle w:val="ListParagraph"/>
        <w:numPr>
          <w:ilvl w:val="0"/>
          <w:numId w:val="1"/>
        </w:numPr>
        <w:rPr>
          <w:b/>
        </w:rPr>
      </w:pPr>
      <w:r w:rsidRPr="002900C5">
        <w:t xml:space="preserve">Basins/Rivers at issue – (Basin map) </w:t>
      </w:r>
    </w:p>
    <w:p w14:paraId="3ADDAC23" w14:textId="77777777" w:rsidR="005235FB" w:rsidRPr="002900C5" w:rsidRDefault="005235FB" w:rsidP="005235FB">
      <w:pPr>
        <w:pStyle w:val="ListParagraph"/>
        <w:numPr>
          <w:ilvl w:val="0"/>
          <w:numId w:val="1"/>
        </w:numPr>
        <w:rPr>
          <w:b/>
        </w:rPr>
      </w:pPr>
      <w:r w:rsidRPr="002900C5">
        <w:t>Reservoirs (USACE map with reservoirs)</w:t>
      </w:r>
    </w:p>
    <w:p w14:paraId="65219048" w14:textId="77777777" w:rsidR="005235FB" w:rsidRPr="002900C5" w:rsidRDefault="005235FB" w:rsidP="005235FB">
      <w:pPr>
        <w:pStyle w:val="ListParagraph"/>
        <w:numPr>
          <w:ilvl w:val="0"/>
          <w:numId w:val="1"/>
        </w:numPr>
        <w:rPr>
          <w:b/>
        </w:rPr>
      </w:pPr>
      <w:r w:rsidRPr="002900C5">
        <w:t>Players and Interests</w:t>
      </w:r>
    </w:p>
    <w:p w14:paraId="53A904A1" w14:textId="77777777" w:rsidR="005235FB" w:rsidRPr="002900C5" w:rsidRDefault="005235FB" w:rsidP="005235FB">
      <w:pPr>
        <w:pStyle w:val="ListParagraph"/>
        <w:numPr>
          <w:ilvl w:val="0"/>
          <w:numId w:val="1"/>
        </w:numPr>
        <w:rPr>
          <w:b/>
        </w:rPr>
      </w:pPr>
      <w:r w:rsidRPr="002900C5">
        <w:t>History of Conflict –</w:t>
      </w:r>
      <w:r w:rsidRPr="002900C5">
        <w:rPr>
          <w:b/>
        </w:rPr>
        <w:t xml:space="preserve"> </w:t>
      </w:r>
      <w:r w:rsidRPr="002900C5">
        <w:t xml:space="preserve">Timeline – </w:t>
      </w:r>
      <w:r w:rsidR="002900C5" w:rsidRPr="002900C5">
        <w:t>(handout)</w:t>
      </w:r>
    </w:p>
    <w:p w14:paraId="1623729A" w14:textId="77777777" w:rsidR="005235FB" w:rsidRPr="002900C5" w:rsidRDefault="005235FB" w:rsidP="005235FB">
      <w:pPr>
        <w:pStyle w:val="ListParagraph"/>
        <w:numPr>
          <w:ilvl w:val="1"/>
          <w:numId w:val="1"/>
        </w:numPr>
        <w:rPr>
          <w:b/>
        </w:rPr>
      </w:pPr>
      <w:r w:rsidRPr="002900C5">
        <w:t>Key Droughts</w:t>
      </w:r>
    </w:p>
    <w:p w14:paraId="68F036D0" w14:textId="77777777" w:rsidR="00485CE9" w:rsidRPr="00485CE9" w:rsidRDefault="005235FB" w:rsidP="005235FB">
      <w:pPr>
        <w:pStyle w:val="ListParagraph"/>
        <w:numPr>
          <w:ilvl w:val="1"/>
          <w:numId w:val="1"/>
        </w:numPr>
        <w:rPr>
          <w:b/>
        </w:rPr>
      </w:pPr>
      <w:r>
        <w:t>List of Cases (dates)</w:t>
      </w:r>
    </w:p>
    <w:p w14:paraId="6273C498" w14:textId="77777777" w:rsidR="00485CE9" w:rsidRPr="00485CE9" w:rsidRDefault="00485CE9" w:rsidP="00485CE9">
      <w:pPr>
        <w:pStyle w:val="ListParagraph"/>
        <w:numPr>
          <w:ilvl w:val="2"/>
          <w:numId w:val="1"/>
        </w:numPr>
        <w:rPr>
          <w:b/>
        </w:rPr>
      </w:pPr>
      <w:r>
        <w:t>Alabama’s Original Suit over West Georgia Reservoir</w:t>
      </w:r>
    </w:p>
    <w:p w14:paraId="0E49DECD" w14:textId="77777777" w:rsidR="00485CE9" w:rsidRPr="00485CE9" w:rsidRDefault="00485CE9" w:rsidP="00485CE9">
      <w:pPr>
        <w:pStyle w:val="ListParagraph"/>
        <w:numPr>
          <w:ilvl w:val="2"/>
          <w:numId w:val="1"/>
        </w:numPr>
        <w:rPr>
          <w:b/>
        </w:rPr>
      </w:pPr>
      <w:r>
        <w:t xml:space="preserve">Suits over reservoir operations in ACF and ACT </w:t>
      </w:r>
    </w:p>
    <w:p w14:paraId="42F5214F" w14:textId="77777777" w:rsidR="00485CE9" w:rsidRPr="00485CE9" w:rsidRDefault="00485CE9" w:rsidP="00485CE9">
      <w:pPr>
        <w:pStyle w:val="ListParagraph"/>
        <w:numPr>
          <w:ilvl w:val="2"/>
          <w:numId w:val="1"/>
        </w:numPr>
        <w:rPr>
          <w:b/>
        </w:rPr>
      </w:pPr>
      <w:r>
        <w:t xml:space="preserve">Updates to the Water Control Manuals </w:t>
      </w:r>
    </w:p>
    <w:p w14:paraId="510BAE70" w14:textId="77777777" w:rsidR="00485CE9" w:rsidRPr="00485CE9" w:rsidRDefault="00485CE9" w:rsidP="00485CE9">
      <w:pPr>
        <w:pStyle w:val="ListParagraph"/>
        <w:numPr>
          <w:ilvl w:val="3"/>
          <w:numId w:val="1"/>
        </w:numPr>
        <w:rPr>
          <w:b/>
        </w:rPr>
      </w:pPr>
      <w:r>
        <w:t xml:space="preserve">ACT – Storage Accounting </w:t>
      </w:r>
    </w:p>
    <w:p w14:paraId="482FD741" w14:textId="77777777" w:rsidR="005235FB" w:rsidRPr="005235FB" w:rsidRDefault="00485CE9" w:rsidP="00485CE9">
      <w:pPr>
        <w:pStyle w:val="ListParagraph"/>
        <w:numPr>
          <w:ilvl w:val="3"/>
          <w:numId w:val="1"/>
        </w:numPr>
        <w:rPr>
          <w:b/>
        </w:rPr>
      </w:pPr>
      <w:r>
        <w:lastRenderedPageBreak/>
        <w:t xml:space="preserve">ACF – Water Supply Contracts </w:t>
      </w:r>
      <w:r w:rsidR="005235FB">
        <w:t xml:space="preserve"> </w:t>
      </w:r>
    </w:p>
    <w:p w14:paraId="6E61A6E9" w14:textId="77777777" w:rsidR="009E7477" w:rsidRPr="009E7477" w:rsidRDefault="009E7477" w:rsidP="005235FB">
      <w:pPr>
        <w:pStyle w:val="ListParagraph"/>
        <w:numPr>
          <w:ilvl w:val="1"/>
          <w:numId w:val="1"/>
        </w:numPr>
        <w:rPr>
          <w:b/>
        </w:rPr>
      </w:pPr>
      <w:r>
        <w:t>Key APA Cases:</w:t>
      </w:r>
      <w:r w:rsidR="005235FB">
        <w:t xml:space="preserve"> </w:t>
      </w:r>
    </w:p>
    <w:p w14:paraId="334D31BB" w14:textId="77777777" w:rsidR="005235FB" w:rsidRPr="00BB01EB" w:rsidRDefault="005235FB" w:rsidP="009E7477">
      <w:pPr>
        <w:pStyle w:val="ListParagraph"/>
        <w:numPr>
          <w:ilvl w:val="2"/>
          <w:numId w:val="1"/>
        </w:numPr>
        <w:rPr>
          <w:b/>
        </w:rPr>
      </w:pPr>
      <w:r>
        <w:t xml:space="preserve">DC Circuit – WSA 1958 – “Major Operational Change” </w:t>
      </w:r>
      <w:r w:rsidR="001F2BBF">
        <w:t xml:space="preserve">– Federal Power Customers litigation </w:t>
      </w:r>
    </w:p>
    <w:p w14:paraId="33799ACA" w14:textId="77777777" w:rsidR="00BB01EB" w:rsidRPr="005235FB" w:rsidRDefault="00BB01EB" w:rsidP="009E7477">
      <w:pPr>
        <w:pStyle w:val="ListParagraph"/>
        <w:numPr>
          <w:ilvl w:val="3"/>
          <w:numId w:val="1"/>
        </w:numPr>
        <w:rPr>
          <w:b/>
        </w:rPr>
      </w:pPr>
      <w:r>
        <w:rPr>
          <w:i/>
        </w:rPr>
        <w:t>Southeastern Fed. Power Customers, Inc. v. Geren</w:t>
      </w:r>
      <w:r>
        <w:t xml:space="preserve">, 514 F.3d 1316, 1319-20 (D.C. Cir. 2008) </w:t>
      </w:r>
    </w:p>
    <w:p w14:paraId="5B3418A3" w14:textId="77777777" w:rsidR="005235FB" w:rsidRPr="002900C5" w:rsidRDefault="005235FB" w:rsidP="009E7477">
      <w:pPr>
        <w:pStyle w:val="ListParagraph"/>
        <w:numPr>
          <w:ilvl w:val="2"/>
          <w:numId w:val="1"/>
        </w:numPr>
        <w:rPr>
          <w:b/>
        </w:rPr>
      </w:pPr>
      <w:r w:rsidRPr="002900C5">
        <w:t>MDL – Magnuson Decision – Phase I &amp; Phase II</w:t>
      </w:r>
    </w:p>
    <w:p w14:paraId="78A21C93" w14:textId="77777777" w:rsidR="00AF628F" w:rsidRPr="00AF628F" w:rsidRDefault="005235FB" w:rsidP="009E7477">
      <w:pPr>
        <w:pStyle w:val="ListParagraph"/>
        <w:numPr>
          <w:ilvl w:val="2"/>
          <w:numId w:val="1"/>
        </w:numPr>
        <w:rPr>
          <w:b/>
        </w:rPr>
      </w:pPr>
      <w:r w:rsidRPr="002900C5">
        <w:t>11</w:t>
      </w:r>
      <w:r w:rsidRPr="002900C5">
        <w:rPr>
          <w:vertAlign w:val="superscript"/>
        </w:rPr>
        <w:t>th</w:t>
      </w:r>
      <w:r w:rsidRPr="002900C5">
        <w:t xml:space="preserve"> Circuit</w:t>
      </w:r>
      <w:r w:rsidRPr="00AF628F">
        <w:t xml:space="preserve"> Decision </w:t>
      </w:r>
      <w:r w:rsidR="00AF628F">
        <w:t xml:space="preserve"> </w:t>
      </w:r>
    </w:p>
    <w:p w14:paraId="7E2F1ACD" w14:textId="77777777" w:rsidR="005235FB" w:rsidRPr="00AF628F" w:rsidRDefault="00AF628F" w:rsidP="00AF628F">
      <w:pPr>
        <w:pStyle w:val="ListParagraph"/>
        <w:numPr>
          <w:ilvl w:val="3"/>
          <w:numId w:val="1"/>
        </w:numPr>
        <w:rPr>
          <w:b/>
        </w:rPr>
      </w:pPr>
      <w:r>
        <w:rPr>
          <w:i/>
        </w:rPr>
        <w:t xml:space="preserve">In re: Tri-States Water Rights Litigation, </w:t>
      </w:r>
      <w:r>
        <w:t>644 F.3d 1160 (11</w:t>
      </w:r>
      <w:r w:rsidRPr="00AF628F">
        <w:rPr>
          <w:vertAlign w:val="superscript"/>
        </w:rPr>
        <w:t>th</w:t>
      </w:r>
      <w:r>
        <w:t xml:space="preserve"> Cir. 2011).  </w:t>
      </w:r>
    </w:p>
    <w:p w14:paraId="70241DC9" w14:textId="77777777" w:rsidR="00485CE9" w:rsidRPr="00485CE9" w:rsidRDefault="005235FB" w:rsidP="009E7477">
      <w:pPr>
        <w:pStyle w:val="ListParagraph"/>
        <w:numPr>
          <w:ilvl w:val="1"/>
          <w:numId w:val="1"/>
        </w:numPr>
        <w:rPr>
          <w:b/>
        </w:rPr>
      </w:pPr>
      <w:r>
        <w:rPr>
          <w:i/>
        </w:rPr>
        <w:t xml:space="preserve">Florida v. Georgia – </w:t>
      </w:r>
      <w:r>
        <w:t>Original Action No. 142</w:t>
      </w:r>
    </w:p>
    <w:p w14:paraId="349796D7" w14:textId="77777777" w:rsidR="005235FB" w:rsidRPr="005235FB" w:rsidRDefault="00485CE9" w:rsidP="00485CE9">
      <w:pPr>
        <w:pStyle w:val="ListParagraph"/>
        <w:numPr>
          <w:ilvl w:val="2"/>
          <w:numId w:val="1"/>
        </w:numPr>
        <w:rPr>
          <w:b/>
        </w:rPr>
      </w:pPr>
      <w:r>
        <w:t>Equitable Apportionment</w:t>
      </w:r>
      <w:r w:rsidR="005235FB">
        <w:t xml:space="preserve"> </w:t>
      </w:r>
    </w:p>
    <w:p w14:paraId="36828275" w14:textId="77777777" w:rsidR="00C87571" w:rsidRDefault="00C87571" w:rsidP="00C87571">
      <w:pPr>
        <w:rPr>
          <w:b/>
        </w:rPr>
      </w:pPr>
      <w:r w:rsidRPr="00CE2419">
        <w:rPr>
          <w:b/>
          <w:u w:val="single"/>
        </w:rPr>
        <w:t>Class #6</w:t>
      </w:r>
      <w:r>
        <w:rPr>
          <w:b/>
        </w:rPr>
        <w:t xml:space="preserve"> – </w:t>
      </w:r>
      <w:r w:rsidR="0039679F">
        <w:rPr>
          <w:b/>
        </w:rPr>
        <w:t>(S</w:t>
      </w:r>
      <w:r w:rsidR="00D21AAC">
        <w:rPr>
          <w:b/>
        </w:rPr>
        <w:t>eptember 21</w:t>
      </w:r>
      <w:r w:rsidR="00CE2419">
        <w:rPr>
          <w:b/>
        </w:rPr>
        <w:t>) – (Session A) -</w:t>
      </w:r>
      <w:r w:rsidR="0039679F">
        <w:rPr>
          <w:b/>
        </w:rPr>
        <w:t xml:space="preserve"> </w:t>
      </w:r>
      <w:r>
        <w:rPr>
          <w:b/>
        </w:rPr>
        <w:t>Water Supply Planning/</w:t>
      </w:r>
      <w:proofErr w:type="gramStart"/>
      <w:r>
        <w:rPr>
          <w:b/>
        </w:rPr>
        <w:t>Management  -</w:t>
      </w:r>
      <w:proofErr w:type="gramEnd"/>
      <w:r>
        <w:rPr>
          <w:b/>
        </w:rPr>
        <w:t xml:space="preserve"> Generally</w:t>
      </w:r>
      <w:r w:rsidR="00CE2419">
        <w:rPr>
          <w:b/>
        </w:rPr>
        <w:t xml:space="preserve"> </w:t>
      </w:r>
    </w:p>
    <w:p w14:paraId="47D39FDD" w14:textId="77777777" w:rsidR="00C87571" w:rsidRPr="00EC0361" w:rsidRDefault="00C87571" w:rsidP="00C87571">
      <w:pPr>
        <w:pStyle w:val="ListParagraph"/>
        <w:numPr>
          <w:ilvl w:val="0"/>
          <w:numId w:val="2"/>
        </w:numPr>
        <w:rPr>
          <w:b/>
        </w:rPr>
      </w:pPr>
      <w:r>
        <w:rPr>
          <w:u w:val="single"/>
        </w:rPr>
        <w:t>Reading List</w:t>
      </w:r>
      <w:r w:rsidR="005762A0">
        <w:t xml:space="preserve">: </w:t>
      </w:r>
    </w:p>
    <w:p w14:paraId="1CA8C791" w14:textId="77777777" w:rsidR="00C87571" w:rsidRPr="00EC0361" w:rsidRDefault="00C87571" w:rsidP="00C87571">
      <w:pPr>
        <w:pStyle w:val="ListParagraph"/>
        <w:numPr>
          <w:ilvl w:val="1"/>
          <w:numId w:val="2"/>
        </w:numPr>
        <w:rPr>
          <w:b/>
        </w:rPr>
      </w:pPr>
      <w:r>
        <w:rPr>
          <w:u w:val="single"/>
        </w:rPr>
        <w:t>Whose Drop Is It Anyway?</w:t>
      </w:r>
      <w:r>
        <w:t xml:space="preserve"> </w:t>
      </w:r>
    </w:p>
    <w:p w14:paraId="11FCB6D5" w14:textId="77777777" w:rsidR="00C87571" w:rsidRPr="00EC0361" w:rsidRDefault="00C87571" w:rsidP="00C87571">
      <w:pPr>
        <w:pStyle w:val="ListParagraph"/>
        <w:numPr>
          <w:ilvl w:val="2"/>
          <w:numId w:val="2"/>
        </w:numPr>
        <w:rPr>
          <w:b/>
        </w:rPr>
      </w:pPr>
      <w:r>
        <w:t xml:space="preserve">Chapter 5 – “Population Growth, New Development and Water Supply” – (24 pages) </w:t>
      </w:r>
    </w:p>
    <w:p w14:paraId="26FEC2DA" w14:textId="77777777" w:rsidR="00C87571" w:rsidRPr="00EC0361" w:rsidRDefault="00C87571" w:rsidP="00C87571">
      <w:pPr>
        <w:pStyle w:val="ListParagraph"/>
        <w:numPr>
          <w:ilvl w:val="1"/>
          <w:numId w:val="2"/>
        </w:numPr>
        <w:rPr>
          <w:b/>
        </w:rPr>
      </w:pPr>
      <w:r>
        <w:rPr>
          <w:u w:val="single"/>
        </w:rPr>
        <w:t>A Twenty-First Century U.S. Water Policy</w:t>
      </w:r>
      <w:r>
        <w:t xml:space="preserve">  </w:t>
      </w:r>
    </w:p>
    <w:p w14:paraId="1685E4E3" w14:textId="77777777" w:rsidR="00C87571" w:rsidRPr="00EC0361" w:rsidRDefault="00C87571" w:rsidP="00C87571">
      <w:pPr>
        <w:pStyle w:val="ListParagraph"/>
        <w:numPr>
          <w:ilvl w:val="2"/>
          <w:numId w:val="2"/>
        </w:numPr>
        <w:rPr>
          <w:b/>
        </w:rPr>
      </w:pPr>
      <w:r>
        <w:t>Chapter 7 – “Municipal Water Use” – (28 pages)</w:t>
      </w:r>
    </w:p>
    <w:p w14:paraId="29AA9B14" w14:textId="77777777" w:rsidR="00C87571" w:rsidRPr="001E6481" w:rsidRDefault="00C87571" w:rsidP="00C87571">
      <w:pPr>
        <w:pStyle w:val="ListParagraph"/>
        <w:numPr>
          <w:ilvl w:val="2"/>
          <w:numId w:val="2"/>
        </w:numPr>
        <w:rPr>
          <w:b/>
        </w:rPr>
      </w:pPr>
      <w:r>
        <w:t>Chapter 8 – “Water and Agriculture” – (26 pages)</w:t>
      </w:r>
    </w:p>
    <w:p w14:paraId="110C141A" w14:textId="77777777" w:rsidR="001E6481" w:rsidRPr="001E6481" w:rsidRDefault="001E6481" w:rsidP="001E6481">
      <w:pPr>
        <w:pStyle w:val="ListParagraph"/>
        <w:ind w:left="1440"/>
        <w:rPr>
          <w:u w:val="single"/>
        </w:rPr>
      </w:pPr>
    </w:p>
    <w:p w14:paraId="176BE803" w14:textId="77777777" w:rsidR="001E6481" w:rsidRPr="001E6481" w:rsidRDefault="001E6481" w:rsidP="001E6481">
      <w:pPr>
        <w:pStyle w:val="ListParagraph"/>
        <w:numPr>
          <w:ilvl w:val="1"/>
          <w:numId w:val="2"/>
        </w:numPr>
        <w:rPr>
          <w:u w:val="single"/>
        </w:rPr>
      </w:pPr>
      <w:r>
        <w:t>Enabling Legislation – MNGWPD</w:t>
      </w:r>
    </w:p>
    <w:p w14:paraId="21B08845" w14:textId="77777777" w:rsidR="001E6481" w:rsidRPr="001E6481" w:rsidRDefault="005962CB" w:rsidP="001E6481">
      <w:pPr>
        <w:pStyle w:val="ListParagraph"/>
        <w:numPr>
          <w:ilvl w:val="2"/>
          <w:numId w:val="2"/>
        </w:numPr>
        <w:rPr>
          <w:u w:val="single"/>
        </w:rPr>
      </w:pPr>
      <w:hyperlink r:id="rId11" w:history="1">
        <w:r w:rsidR="001E6481" w:rsidRPr="00AE5F31">
          <w:rPr>
            <w:rStyle w:val="Hyperlink"/>
          </w:rPr>
          <w:t>https://casetext.com/statute/code-of-georgia/title-12-conservation-and-natural-resources/chapter-5-water-resources/article-10-metropolitan-north-georgia-water-planning-district-act</w:t>
        </w:r>
      </w:hyperlink>
    </w:p>
    <w:p w14:paraId="0C6875FE" w14:textId="77777777" w:rsidR="001E6481" w:rsidRPr="00A73C85" w:rsidRDefault="001E6481" w:rsidP="001E6481">
      <w:pPr>
        <w:pStyle w:val="ListParagraph"/>
        <w:ind w:left="2880"/>
        <w:rPr>
          <w:u w:val="single"/>
        </w:rPr>
      </w:pPr>
    </w:p>
    <w:p w14:paraId="1E834A39" w14:textId="77777777" w:rsidR="001E6481" w:rsidRPr="001E6481" w:rsidRDefault="001E6481" w:rsidP="001E6481">
      <w:pPr>
        <w:pStyle w:val="ListParagraph"/>
        <w:numPr>
          <w:ilvl w:val="0"/>
          <w:numId w:val="14"/>
        </w:numPr>
        <w:rPr>
          <w:u w:val="single"/>
        </w:rPr>
      </w:pPr>
      <w:r>
        <w:t>Enabling Legislation – State Water Plan</w:t>
      </w:r>
    </w:p>
    <w:p w14:paraId="2DC321FC" w14:textId="77777777" w:rsidR="001E6481" w:rsidRDefault="005962CB" w:rsidP="001E6481">
      <w:pPr>
        <w:pStyle w:val="ListParagraph"/>
        <w:numPr>
          <w:ilvl w:val="1"/>
          <w:numId w:val="14"/>
        </w:numPr>
        <w:rPr>
          <w:u w:val="single"/>
        </w:rPr>
      </w:pPr>
      <w:hyperlink r:id="rId12" w:history="1">
        <w:r w:rsidR="001E6481" w:rsidRPr="00AE5F31">
          <w:rPr>
            <w:rStyle w:val="Hyperlink"/>
          </w:rPr>
          <w:t>https://casetext.com/statute/code-of-georgia/title-12-conservation-and-natural-resources/chapter-5-water-resources/article-8-comprehensive-state-wide-water-management-planning-act</w:t>
        </w:r>
      </w:hyperlink>
    </w:p>
    <w:p w14:paraId="31FB79A5" w14:textId="77777777" w:rsidR="001E6481" w:rsidRDefault="001E6481" w:rsidP="001E6481">
      <w:pPr>
        <w:pStyle w:val="ListParagraph"/>
        <w:ind w:left="2160"/>
        <w:rPr>
          <w:u w:val="single"/>
        </w:rPr>
      </w:pPr>
    </w:p>
    <w:p w14:paraId="17767228" w14:textId="77777777" w:rsidR="001E6481" w:rsidRDefault="001E6481" w:rsidP="001E6481">
      <w:pPr>
        <w:pStyle w:val="ListParagraph"/>
        <w:numPr>
          <w:ilvl w:val="1"/>
          <w:numId w:val="14"/>
        </w:numPr>
        <w:rPr>
          <w:u w:val="single"/>
        </w:rPr>
      </w:pPr>
      <w:r>
        <w:t xml:space="preserve">See also: </w:t>
      </w:r>
      <w:hyperlink r:id="rId13" w:history="1">
        <w:r w:rsidRPr="00AE5F31">
          <w:rPr>
            <w:rStyle w:val="Hyperlink"/>
          </w:rPr>
          <w:t>www.waterplanning.georgia.gov</w:t>
        </w:r>
      </w:hyperlink>
    </w:p>
    <w:p w14:paraId="36061963" w14:textId="77777777" w:rsidR="001E6481" w:rsidRPr="001E6481" w:rsidRDefault="001E6481" w:rsidP="001E6481">
      <w:pPr>
        <w:pStyle w:val="ListParagraph"/>
        <w:ind w:left="2160"/>
        <w:rPr>
          <w:u w:val="single"/>
        </w:rPr>
      </w:pPr>
    </w:p>
    <w:p w14:paraId="2308AEED" w14:textId="77777777" w:rsidR="005762A0" w:rsidRPr="005762A0" w:rsidRDefault="001E6481" w:rsidP="001E6481">
      <w:pPr>
        <w:pStyle w:val="ListParagraph"/>
        <w:numPr>
          <w:ilvl w:val="0"/>
          <w:numId w:val="14"/>
        </w:numPr>
        <w:rPr>
          <w:u w:val="single"/>
        </w:rPr>
      </w:pPr>
      <w:r>
        <w:t>Enabling Legislation - Flint River Drought Protection Act</w:t>
      </w:r>
    </w:p>
    <w:p w14:paraId="1F2B8A46" w14:textId="77777777" w:rsidR="005762A0" w:rsidRPr="005762A0" w:rsidRDefault="005962CB" w:rsidP="005762A0">
      <w:pPr>
        <w:pStyle w:val="ListParagraph"/>
        <w:numPr>
          <w:ilvl w:val="1"/>
          <w:numId w:val="14"/>
        </w:numPr>
        <w:rPr>
          <w:u w:val="single"/>
        </w:rPr>
      </w:pPr>
      <w:hyperlink r:id="rId14" w:history="1">
        <w:r w:rsidR="005762A0" w:rsidRPr="00AE5F31">
          <w:rPr>
            <w:rStyle w:val="Hyperlink"/>
          </w:rPr>
          <w:t>https://casetext.com/statute/code-of-georgia/title-12-conservation-and-natural-resources/chapter-5-water-resources/article-8-comprehensive-state-wide-water-management-planning-act</w:t>
        </w:r>
      </w:hyperlink>
    </w:p>
    <w:p w14:paraId="6464608A" w14:textId="77777777" w:rsidR="001E6481" w:rsidRDefault="001E6481" w:rsidP="001E6481">
      <w:pPr>
        <w:pStyle w:val="ListParagraph"/>
        <w:rPr>
          <w:u w:val="single"/>
        </w:rPr>
      </w:pPr>
    </w:p>
    <w:p w14:paraId="79D8886A" w14:textId="77777777" w:rsidR="001E6481" w:rsidRPr="001E6481" w:rsidRDefault="001E6481" w:rsidP="001E6481">
      <w:pPr>
        <w:rPr>
          <w:b/>
        </w:rPr>
      </w:pPr>
      <w:r>
        <w:rPr>
          <w:b/>
        </w:rPr>
        <w:t xml:space="preserve">Water Supply Planning in Georgia </w:t>
      </w:r>
    </w:p>
    <w:p w14:paraId="02F63523" w14:textId="77777777" w:rsidR="001E6481" w:rsidRDefault="001E6481" w:rsidP="001E6481">
      <w:pPr>
        <w:pStyle w:val="ListParagraph"/>
        <w:numPr>
          <w:ilvl w:val="1"/>
          <w:numId w:val="2"/>
        </w:numPr>
        <w:rPr>
          <w:u w:val="single"/>
        </w:rPr>
      </w:pPr>
      <w:r>
        <w:t>Metro-Atlanta North Georgia Water Planning District – history</w:t>
      </w:r>
    </w:p>
    <w:p w14:paraId="3A611F1C" w14:textId="77777777" w:rsidR="001E6481" w:rsidRPr="00A73C85" w:rsidRDefault="001E6481" w:rsidP="001E6481">
      <w:pPr>
        <w:pStyle w:val="ListParagraph"/>
        <w:numPr>
          <w:ilvl w:val="1"/>
          <w:numId w:val="2"/>
        </w:numPr>
        <w:rPr>
          <w:u w:val="single"/>
        </w:rPr>
      </w:pPr>
      <w:r>
        <w:t>The State Water Plan – history</w:t>
      </w:r>
    </w:p>
    <w:p w14:paraId="3AF35323" w14:textId="77777777" w:rsidR="001E6481" w:rsidRPr="00A73C85" w:rsidRDefault="001E6481" w:rsidP="001E6481">
      <w:pPr>
        <w:pStyle w:val="ListParagraph"/>
        <w:numPr>
          <w:ilvl w:val="1"/>
          <w:numId w:val="2"/>
        </w:numPr>
        <w:rPr>
          <w:u w:val="single"/>
        </w:rPr>
      </w:pPr>
      <w:r>
        <w:lastRenderedPageBreak/>
        <w:t xml:space="preserve">Water Planning Councils </w:t>
      </w:r>
    </w:p>
    <w:p w14:paraId="23C927A7" w14:textId="77777777" w:rsidR="001E6481" w:rsidRPr="007760D5" w:rsidRDefault="001E6481" w:rsidP="001E6481">
      <w:pPr>
        <w:pStyle w:val="ListParagraph"/>
        <w:numPr>
          <w:ilvl w:val="2"/>
          <w:numId w:val="2"/>
        </w:numPr>
        <w:rPr>
          <w:u w:val="single"/>
        </w:rPr>
      </w:pPr>
      <w:r>
        <w:t xml:space="preserve">Municipal and Industrial Water Supply </w:t>
      </w:r>
    </w:p>
    <w:p w14:paraId="77030582" w14:textId="77777777" w:rsidR="001E6481" w:rsidRPr="007760D5" w:rsidRDefault="001E6481" w:rsidP="001E6481">
      <w:pPr>
        <w:pStyle w:val="ListParagraph"/>
        <w:numPr>
          <w:ilvl w:val="3"/>
          <w:numId w:val="2"/>
        </w:numPr>
        <w:rPr>
          <w:u w:val="single"/>
        </w:rPr>
      </w:pPr>
      <w:r>
        <w:t>Federal Reservoirs</w:t>
      </w:r>
    </w:p>
    <w:p w14:paraId="49F7563F" w14:textId="77777777" w:rsidR="001E6481" w:rsidRPr="007760D5" w:rsidRDefault="001E6481" w:rsidP="001E6481">
      <w:pPr>
        <w:pStyle w:val="ListParagraph"/>
        <w:numPr>
          <w:ilvl w:val="3"/>
          <w:numId w:val="2"/>
        </w:numPr>
        <w:rPr>
          <w:u w:val="single"/>
        </w:rPr>
      </w:pPr>
      <w:r>
        <w:t>Other local or regional reservoirs</w:t>
      </w:r>
    </w:p>
    <w:p w14:paraId="30B478D8" w14:textId="77777777" w:rsidR="001E6481" w:rsidRPr="00A73C85" w:rsidRDefault="001E6481" w:rsidP="001E6481">
      <w:pPr>
        <w:pStyle w:val="ListParagraph"/>
        <w:numPr>
          <w:ilvl w:val="3"/>
          <w:numId w:val="2"/>
        </w:numPr>
        <w:rPr>
          <w:u w:val="single"/>
        </w:rPr>
      </w:pPr>
      <w:r>
        <w:t>Reservoirs vs. groundwater below fall-</w:t>
      </w:r>
      <w:proofErr w:type="gramStart"/>
      <w:r>
        <w:t>line</w:t>
      </w:r>
      <w:proofErr w:type="gramEnd"/>
    </w:p>
    <w:p w14:paraId="168CB4A9" w14:textId="77777777" w:rsidR="001E6481" w:rsidRPr="007760D5" w:rsidRDefault="001E6481" w:rsidP="001E6481">
      <w:pPr>
        <w:pStyle w:val="ListParagraph"/>
        <w:numPr>
          <w:ilvl w:val="2"/>
          <w:numId w:val="2"/>
        </w:numPr>
        <w:rPr>
          <w:u w:val="single"/>
        </w:rPr>
      </w:pPr>
      <w:r>
        <w:t>Agricultural Water Supply</w:t>
      </w:r>
    </w:p>
    <w:p w14:paraId="2EFB8818" w14:textId="77777777" w:rsidR="001E6481" w:rsidRPr="007760D5" w:rsidRDefault="001E6481" w:rsidP="001E6481">
      <w:pPr>
        <w:pStyle w:val="ListParagraph"/>
        <w:numPr>
          <w:ilvl w:val="3"/>
          <w:numId w:val="2"/>
        </w:numPr>
        <w:rPr>
          <w:u w:val="single"/>
        </w:rPr>
      </w:pPr>
      <w:r>
        <w:t>Agricultural Permitting</w:t>
      </w:r>
    </w:p>
    <w:p w14:paraId="02A0CC40" w14:textId="77777777" w:rsidR="001E6481" w:rsidRPr="007760D5" w:rsidRDefault="001E6481" w:rsidP="001E6481">
      <w:pPr>
        <w:pStyle w:val="ListParagraph"/>
        <w:numPr>
          <w:ilvl w:val="4"/>
          <w:numId w:val="2"/>
        </w:numPr>
        <w:rPr>
          <w:u w:val="single"/>
        </w:rPr>
      </w:pPr>
      <w:r>
        <w:t>Surface water permits</w:t>
      </w:r>
    </w:p>
    <w:p w14:paraId="6DC86A52" w14:textId="77777777" w:rsidR="001E6481" w:rsidRPr="007760D5" w:rsidRDefault="001E6481" w:rsidP="001E6481">
      <w:pPr>
        <w:pStyle w:val="ListParagraph"/>
        <w:numPr>
          <w:ilvl w:val="4"/>
          <w:numId w:val="2"/>
        </w:numPr>
        <w:rPr>
          <w:u w:val="single"/>
        </w:rPr>
      </w:pPr>
      <w:r>
        <w:t>Groundwater permits</w:t>
      </w:r>
    </w:p>
    <w:p w14:paraId="3CA3B90A" w14:textId="77777777" w:rsidR="001E6481" w:rsidRPr="00A73C85" w:rsidRDefault="001E6481" w:rsidP="001E6481">
      <w:pPr>
        <w:pStyle w:val="ListParagraph"/>
        <w:numPr>
          <w:ilvl w:val="4"/>
          <w:numId w:val="2"/>
        </w:numPr>
        <w:rPr>
          <w:u w:val="single"/>
        </w:rPr>
      </w:pPr>
      <w:r>
        <w:t xml:space="preserve">Interaction between Floridan and surface water  </w:t>
      </w:r>
    </w:p>
    <w:p w14:paraId="6FFE78BD" w14:textId="77777777" w:rsidR="001E6481" w:rsidRPr="00A73C85" w:rsidRDefault="001E6481" w:rsidP="001E6481">
      <w:pPr>
        <w:pStyle w:val="ListParagraph"/>
        <w:numPr>
          <w:ilvl w:val="3"/>
          <w:numId w:val="2"/>
        </w:numPr>
        <w:rPr>
          <w:u w:val="single"/>
        </w:rPr>
      </w:pPr>
      <w:r>
        <w:t>Agricultural water estimates</w:t>
      </w:r>
    </w:p>
    <w:p w14:paraId="106AEF23" w14:textId="77777777" w:rsidR="001E6481" w:rsidRPr="005762A0" w:rsidRDefault="001E6481" w:rsidP="001E6481">
      <w:pPr>
        <w:pStyle w:val="ListParagraph"/>
        <w:numPr>
          <w:ilvl w:val="3"/>
          <w:numId w:val="2"/>
        </w:numPr>
        <w:rPr>
          <w:u w:val="single"/>
        </w:rPr>
      </w:pPr>
      <w:r>
        <w:t>Metering Program</w:t>
      </w:r>
    </w:p>
    <w:p w14:paraId="7164CA95" w14:textId="77777777" w:rsidR="005762A0" w:rsidRDefault="005762A0" w:rsidP="005762A0">
      <w:pPr>
        <w:pStyle w:val="ListParagraph"/>
        <w:rPr>
          <w:u w:val="single"/>
        </w:rPr>
      </w:pPr>
    </w:p>
    <w:p w14:paraId="42BCB129" w14:textId="77777777" w:rsidR="005762A0" w:rsidRPr="00CE2419" w:rsidRDefault="005762A0" w:rsidP="005762A0">
      <w:pPr>
        <w:pStyle w:val="ListParagraph"/>
        <w:numPr>
          <w:ilvl w:val="0"/>
          <w:numId w:val="2"/>
        </w:numPr>
        <w:rPr>
          <w:u w:val="single"/>
        </w:rPr>
      </w:pPr>
      <w:r>
        <w:rPr>
          <w:u w:val="single"/>
        </w:rPr>
        <w:t>Key Concepts</w:t>
      </w:r>
      <w:r>
        <w:t xml:space="preserve">:  State efforts at water supply planning and provision of adequate water for its people, </w:t>
      </w:r>
      <w:proofErr w:type="gramStart"/>
      <w:r>
        <w:t>industries</w:t>
      </w:r>
      <w:proofErr w:type="gramEnd"/>
      <w:r>
        <w:t xml:space="preserve"> and economy</w:t>
      </w:r>
    </w:p>
    <w:p w14:paraId="5BE5559F" w14:textId="77777777" w:rsidR="00CE2419" w:rsidRPr="00CE2419" w:rsidRDefault="00CE2419" w:rsidP="00CE2419">
      <w:pPr>
        <w:rPr>
          <w:b/>
        </w:rPr>
      </w:pPr>
      <w:r w:rsidRPr="00CE2419">
        <w:rPr>
          <w:b/>
        </w:rPr>
        <w:t xml:space="preserve">(Session B) - Guest Speaker – Katherine </w:t>
      </w:r>
      <w:proofErr w:type="spellStart"/>
      <w:r w:rsidRPr="00CE2419">
        <w:rPr>
          <w:b/>
        </w:rPr>
        <w:t>Zitsch</w:t>
      </w:r>
      <w:proofErr w:type="spellEnd"/>
      <w:r w:rsidRPr="00CE2419">
        <w:rPr>
          <w:b/>
        </w:rPr>
        <w:t xml:space="preserve"> - Water Supply Planning – ACF Basin – Director, Metro-Atlanta North Georgia Water Planning District Director </w:t>
      </w:r>
    </w:p>
    <w:p w14:paraId="0812ABE7" w14:textId="77777777" w:rsidR="00CE2419" w:rsidRDefault="00CE2419" w:rsidP="00485CE9">
      <w:pPr>
        <w:rPr>
          <w:b/>
        </w:rPr>
      </w:pPr>
    </w:p>
    <w:p w14:paraId="4F59690D" w14:textId="77777777" w:rsidR="005235FB" w:rsidRDefault="00C87571" w:rsidP="00485CE9">
      <w:pPr>
        <w:rPr>
          <w:b/>
        </w:rPr>
      </w:pPr>
      <w:r w:rsidRPr="00CE2419">
        <w:rPr>
          <w:b/>
          <w:u w:val="single"/>
        </w:rPr>
        <w:t>Class #7</w:t>
      </w:r>
      <w:r w:rsidR="00B05F61" w:rsidRPr="00CE2419">
        <w:rPr>
          <w:b/>
          <w:u w:val="single"/>
        </w:rPr>
        <w:t xml:space="preserve"> </w:t>
      </w:r>
      <w:r w:rsidR="00724900">
        <w:rPr>
          <w:b/>
        </w:rPr>
        <w:t xml:space="preserve">– </w:t>
      </w:r>
      <w:r w:rsidR="00D21AAC">
        <w:rPr>
          <w:b/>
        </w:rPr>
        <w:t>(September 28</w:t>
      </w:r>
      <w:r w:rsidR="00AF628F">
        <w:rPr>
          <w:b/>
        </w:rPr>
        <w:t xml:space="preserve">) – </w:t>
      </w:r>
      <w:r w:rsidR="00724900">
        <w:rPr>
          <w:b/>
        </w:rPr>
        <w:t>Role and Importance of Reservoir Management and Governance in ACF Basin</w:t>
      </w:r>
    </w:p>
    <w:p w14:paraId="341FF10A" w14:textId="77777777" w:rsidR="00485CE9" w:rsidRPr="00485CE9" w:rsidRDefault="00485CE9" w:rsidP="00485CE9">
      <w:pPr>
        <w:pStyle w:val="ListParagraph"/>
        <w:numPr>
          <w:ilvl w:val="0"/>
          <w:numId w:val="2"/>
        </w:numPr>
        <w:rPr>
          <w:b/>
          <w:u w:val="single"/>
        </w:rPr>
      </w:pPr>
      <w:r w:rsidRPr="00485CE9">
        <w:rPr>
          <w:u w:val="single"/>
        </w:rPr>
        <w:t xml:space="preserve">Role and Importance of Reservoirs in Basin – Focal Point of Conflict </w:t>
      </w:r>
    </w:p>
    <w:p w14:paraId="486ED3E4" w14:textId="77777777" w:rsidR="00485CE9" w:rsidRPr="00485CE9" w:rsidRDefault="00485CE9" w:rsidP="00485CE9">
      <w:pPr>
        <w:pStyle w:val="ListParagraph"/>
        <w:numPr>
          <w:ilvl w:val="1"/>
          <w:numId w:val="2"/>
        </w:numPr>
        <w:rPr>
          <w:b/>
        </w:rPr>
      </w:pPr>
      <w:r>
        <w:t>Storage for multiple authorized purposes</w:t>
      </w:r>
    </w:p>
    <w:p w14:paraId="5EC3A1B3" w14:textId="77777777" w:rsidR="00485CE9" w:rsidRPr="00485CE9" w:rsidRDefault="00485CE9" w:rsidP="00485CE9">
      <w:pPr>
        <w:pStyle w:val="ListParagraph"/>
        <w:numPr>
          <w:ilvl w:val="0"/>
          <w:numId w:val="2"/>
        </w:numPr>
        <w:rPr>
          <w:b/>
        </w:rPr>
      </w:pPr>
      <w:r>
        <w:t>Operation of Federal Authorizations in Operation of Federal Reservoirs</w:t>
      </w:r>
    </w:p>
    <w:p w14:paraId="121F41FF" w14:textId="77777777" w:rsidR="00485CE9" w:rsidRPr="001F2BBF" w:rsidRDefault="00485CE9" w:rsidP="00485CE9">
      <w:pPr>
        <w:pStyle w:val="ListParagraph"/>
        <w:numPr>
          <w:ilvl w:val="1"/>
          <w:numId w:val="2"/>
        </w:numPr>
        <w:rPr>
          <w:b/>
        </w:rPr>
      </w:pPr>
      <w:r>
        <w:t>Water Supply</w:t>
      </w:r>
    </w:p>
    <w:p w14:paraId="543391AD" w14:textId="77777777" w:rsidR="001F2BBF" w:rsidRPr="00485CE9" w:rsidRDefault="001F2BBF" w:rsidP="001F2BBF">
      <w:pPr>
        <w:pStyle w:val="ListParagraph"/>
        <w:numPr>
          <w:ilvl w:val="2"/>
          <w:numId w:val="2"/>
        </w:numPr>
        <w:rPr>
          <w:b/>
        </w:rPr>
      </w:pPr>
      <w:r>
        <w:t>Difference between river users and lake users</w:t>
      </w:r>
    </w:p>
    <w:p w14:paraId="596882F9" w14:textId="77777777" w:rsidR="00485CE9" w:rsidRPr="00485CE9" w:rsidRDefault="00485CE9" w:rsidP="00485CE9">
      <w:pPr>
        <w:pStyle w:val="ListParagraph"/>
        <w:numPr>
          <w:ilvl w:val="1"/>
          <w:numId w:val="2"/>
        </w:numPr>
        <w:rPr>
          <w:b/>
        </w:rPr>
      </w:pPr>
      <w:r>
        <w:t xml:space="preserve">Navigation </w:t>
      </w:r>
    </w:p>
    <w:p w14:paraId="19755E3B" w14:textId="77777777" w:rsidR="00485CE9" w:rsidRPr="00485CE9" w:rsidRDefault="00485CE9" w:rsidP="00485CE9">
      <w:pPr>
        <w:pStyle w:val="ListParagraph"/>
        <w:numPr>
          <w:ilvl w:val="1"/>
          <w:numId w:val="2"/>
        </w:numPr>
        <w:rPr>
          <w:b/>
        </w:rPr>
      </w:pPr>
      <w:r>
        <w:t>Flood Control</w:t>
      </w:r>
    </w:p>
    <w:p w14:paraId="46ACB3C2" w14:textId="77777777" w:rsidR="00485CE9" w:rsidRPr="00485CE9" w:rsidRDefault="00485CE9" w:rsidP="00485CE9">
      <w:pPr>
        <w:pStyle w:val="ListParagraph"/>
        <w:numPr>
          <w:ilvl w:val="1"/>
          <w:numId w:val="2"/>
        </w:numPr>
        <w:rPr>
          <w:b/>
        </w:rPr>
      </w:pPr>
      <w:r>
        <w:t xml:space="preserve">Recreation </w:t>
      </w:r>
    </w:p>
    <w:p w14:paraId="6A78E766" w14:textId="77777777" w:rsidR="001F2BBF" w:rsidRPr="001F2BBF" w:rsidRDefault="00485CE9" w:rsidP="00485CE9">
      <w:pPr>
        <w:pStyle w:val="ListParagraph"/>
        <w:numPr>
          <w:ilvl w:val="1"/>
          <w:numId w:val="2"/>
        </w:numPr>
        <w:rPr>
          <w:b/>
        </w:rPr>
      </w:pPr>
      <w:r>
        <w:t>Water Quality</w:t>
      </w:r>
    </w:p>
    <w:p w14:paraId="3B5230A9" w14:textId="77777777" w:rsidR="00485CE9" w:rsidRPr="00485CE9" w:rsidRDefault="001F2BBF" w:rsidP="001F2BBF">
      <w:pPr>
        <w:pStyle w:val="ListParagraph"/>
        <w:numPr>
          <w:ilvl w:val="0"/>
          <w:numId w:val="2"/>
        </w:numPr>
        <w:rPr>
          <w:b/>
        </w:rPr>
      </w:pPr>
      <w:r>
        <w:t>Basics of Reservoir Operations in ACF</w:t>
      </w:r>
      <w:r w:rsidR="00485CE9">
        <w:t xml:space="preserve"> </w:t>
      </w:r>
    </w:p>
    <w:p w14:paraId="5B219FDB" w14:textId="77777777" w:rsidR="00485CE9" w:rsidRPr="001F2BBF" w:rsidRDefault="00485CE9" w:rsidP="00485CE9">
      <w:pPr>
        <w:pStyle w:val="ListParagraph"/>
        <w:numPr>
          <w:ilvl w:val="1"/>
          <w:numId w:val="2"/>
        </w:numPr>
        <w:rPr>
          <w:b/>
        </w:rPr>
      </w:pPr>
      <w:r>
        <w:t>Rule Curves – United States Corps of Engineers Daily Operations control – Mobile District</w:t>
      </w:r>
    </w:p>
    <w:p w14:paraId="33FE73F2" w14:textId="77777777" w:rsidR="001F2BBF" w:rsidRPr="00172A2C" w:rsidRDefault="001F2BBF" w:rsidP="00485CE9">
      <w:pPr>
        <w:pStyle w:val="ListParagraph"/>
        <w:numPr>
          <w:ilvl w:val="1"/>
          <w:numId w:val="2"/>
        </w:numPr>
        <w:rPr>
          <w:b/>
        </w:rPr>
      </w:pPr>
      <w:r>
        <w:t xml:space="preserve">Unregulated Arm – Flint River – Agricultural Water Use </w:t>
      </w:r>
    </w:p>
    <w:p w14:paraId="43B2C728" w14:textId="77777777" w:rsidR="00172A2C" w:rsidRPr="00172A2C" w:rsidRDefault="00172A2C" w:rsidP="00172A2C">
      <w:pPr>
        <w:pStyle w:val="ListParagraph"/>
        <w:numPr>
          <w:ilvl w:val="2"/>
          <w:numId w:val="2"/>
        </w:numPr>
        <w:rPr>
          <w:b/>
        </w:rPr>
      </w:pPr>
      <w:r>
        <w:t>Map of agricultural pivots</w:t>
      </w:r>
    </w:p>
    <w:p w14:paraId="3C8F24DF" w14:textId="77777777" w:rsidR="00485CE9" w:rsidRPr="00485CE9" w:rsidRDefault="00485CE9" w:rsidP="00485CE9">
      <w:pPr>
        <w:pStyle w:val="ListParagraph"/>
        <w:numPr>
          <w:ilvl w:val="0"/>
          <w:numId w:val="2"/>
        </w:numPr>
        <w:rPr>
          <w:b/>
        </w:rPr>
      </w:pPr>
      <w:r>
        <w:t xml:space="preserve">Rivers and Harbors Act of 1946 – Lake Lanier Authorization </w:t>
      </w:r>
    </w:p>
    <w:p w14:paraId="5A864299" w14:textId="77777777" w:rsidR="00485CE9" w:rsidRPr="00485CE9" w:rsidRDefault="00485CE9" w:rsidP="00485CE9">
      <w:pPr>
        <w:pStyle w:val="ListParagraph"/>
        <w:numPr>
          <w:ilvl w:val="0"/>
          <w:numId w:val="2"/>
        </w:numPr>
        <w:rPr>
          <w:b/>
        </w:rPr>
      </w:pPr>
      <w:r>
        <w:t xml:space="preserve">Water Supply Act of 1958 </w:t>
      </w:r>
    </w:p>
    <w:p w14:paraId="6BB5BB46" w14:textId="77777777" w:rsidR="008D0065" w:rsidRPr="008D0065" w:rsidRDefault="008D0065" w:rsidP="008D0065">
      <w:pPr>
        <w:pStyle w:val="ListParagraph"/>
        <w:numPr>
          <w:ilvl w:val="0"/>
          <w:numId w:val="2"/>
        </w:numPr>
        <w:rPr>
          <w:b/>
        </w:rPr>
      </w:pPr>
      <w:r>
        <w:rPr>
          <w:u w:val="single"/>
        </w:rPr>
        <w:t>Reading List</w:t>
      </w:r>
      <w:r>
        <w:t>:</w:t>
      </w:r>
    </w:p>
    <w:p w14:paraId="35DE6883" w14:textId="77777777" w:rsidR="00C15EC0" w:rsidRPr="00C15EC0" w:rsidRDefault="00C15EC0" w:rsidP="00C15EC0">
      <w:pPr>
        <w:pStyle w:val="ListParagraph"/>
        <w:numPr>
          <w:ilvl w:val="1"/>
          <w:numId w:val="2"/>
        </w:numPr>
        <w:rPr>
          <w:b/>
        </w:rPr>
      </w:pPr>
      <w:r>
        <w:t xml:space="preserve">Final Environmental Impact Statement Lake Lanier Water Control Manual </w:t>
      </w:r>
      <w:r w:rsidR="00485CE9">
        <w:t xml:space="preserve">Update </w:t>
      </w:r>
      <w:r>
        <w:t>and ACF Basin Operations – Executive Summary – (100 pages)</w:t>
      </w:r>
    </w:p>
    <w:p w14:paraId="305C3BA3" w14:textId="77777777" w:rsidR="00C15EC0" w:rsidRPr="00C15EC0" w:rsidRDefault="005962CB" w:rsidP="00981B50">
      <w:pPr>
        <w:pStyle w:val="ListParagraph"/>
        <w:numPr>
          <w:ilvl w:val="2"/>
          <w:numId w:val="2"/>
        </w:numPr>
        <w:rPr>
          <w:b/>
        </w:rPr>
      </w:pPr>
      <w:hyperlink r:id="rId15" w:history="1">
        <w:r w:rsidR="00C15EC0" w:rsidRPr="00AE5F31">
          <w:rPr>
            <w:rStyle w:val="Hyperlink"/>
          </w:rPr>
          <w:t>https://www.sam.usace.army.mil/Portals/46/docs/planning_environmental/acf/docs/01_ACF_FEIS_Dec%202016_Volume%201.pdf?ver=2016-12-07-164912-723</w:t>
        </w:r>
      </w:hyperlink>
    </w:p>
    <w:p w14:paraId="5D68B215" w14:textId="77777777" w:rsidR="001F2BBF" w:rsidRPr="001F2BBF" w:rsidRDefault="00485CE9" w:rsidP="00485CE9">
      <w:pPr>
        <w:pStyle w:val="ListParagraph"/>
        <w:numPr>
          <w:ilvl w:val="0"/>
          <w:numId w:val="2"/>
        </w:numPr>
        <w:rPr>
          <w:b/>
        </w:rPr>
      </w:pPr>
      <w:r>
        <w:rPr>
          <w:u w:val="single"/>
        </w:rPr>
        <w:t>Key Concepts</w:t>
      </w:r>
      <w:r>
        <w:t xml:space="preserve">:  </w:t>
      </w:r>
    </w:p>
    <w:p w14:paraId="1484AF9D" w14:textId="77777777" w:rsidR="00485CE9" w:rsidRPr="001F2BBF" w:rsidRDefault="00485CE9" w:rsidP="001F2BBF">
      <w:pPr>
        <w:pStyle w:val="ListParagraph"/>
        <w:numPr>
          <w:ilvl w:val="1"/>
          <w:numId w:val="2"/>
        </w:numPr>
        <w:rPr>
          <w:b/>
        </w:rPr>
      </w:pPr>
      <w:r>
        <w:t xml:space="preserve">Preeminence of federal statutory frameworks in relation to federal </w:t>
      </w:r>
      <w:r w:rsidR="001F2BBF">
        <w:t xml:space="preserve">reservoir operations </w:t>
      </w:r>
    </w:p>
    <w:p w14:paraId="4151E7A9" w14:textId="77777777" w:rsidR="001F2BBF" w:rsidRPr="00B05F61" w:rsidRDefault="00A87895" w:rsidP="001F2BBF">
      <w:pPr>
        <w:pStyle w:val="ListParagraph"/>
        <w:numPr>
          <w:ilvl w:val="1"/>
          <w:numId w:val="2"/>
        </w:numPr>
        <w:rPr>
          <w:b/>
        </w:rPr>
      </w:pPr>
      <w:r>
        <w:t>Multiple (and often conflicting) f</w:t>
      </w:r>
      <w:r w:rsidR="001F2BBF">
        <w:t>ederal authorized purposes – flood control versus water supply</w:t>
      </w:r>
    </w:p>
    <w:p w14:paraId="7E311F20" w14:textId="77777777" w:rsidR="00B05F61" w:rsidRDefault="00693FD6" w:rsidP="00B05F61">
      <w:pPr>
        <w:rPr>
          <w:b/>
        </w:rPr>
      </w:pPr>
      <w:r>
        <w:rPr>
          <w:b/>
        </w:rPr>
        <w:t>NO CLASS</w:t>
      </w:r>
      <w:r w:rsidR="00B05F61">
        <w:rPr>
          <w:b/>
        </w:rPr>
        <w:t xml:space="preserve"> </w:t>
      </w:r>
      <w:r>
        <w:rPr>
          <w:b/>
        </w:rPr>
        <w:t>– (</w:t>
      </w:r>
      <w:r w:rsidR="00B05F61">
        <w:rPr>
          <w:b/>
        </w:rPr>
        <w:t>OCTOBER 5</w:t>
      </w:r>
      <w:r>
        <w:rPr>
          <w:b/>
        </w:rPr>
        <w:t>)</w:t>
      </w:r>
    </w:p>
    <w:p w14:paraId="3D83FB92" w14:textId="77777777" w:rsidR="00693FD6" w:rsidRDefault="00693FD6" w:rsidP="00693FD6">
      <w:pPr>
        <w:rPr>
          <w:b/>
        </w:rPr>
      </w:pPr>
      <w:r>
        <w:rPr>
          <w:b/>
        </w:rPr>
        <w:t xml:space="preserve">Water Quality </w:t>
      </w:r>
    </w:p>
    <w:p w14:paraId="0B56EE14" w14:textId="77777777" w:rsidR="00693FD6" w:rsidRDefault="00693FD6" w:rsidP="00693FD6">
      <w:pPr>
        <w:pStyle w:val="ListParagraph"/>
        <w:numPr>
          <w:ilvl w:val="0"/>
          <w:numId w:val="6"/>
        </w:numPr>
      </w:pPr>
      <w:r>
        <w:rPr>
          <w:u w:val="single"/>
        </w:rPr>
        <w:t>Reading List</w:t>
      </w:r>
      <w:r>
        <w:t>:</w:t>
      </w:r>
      <w:r w:rsidR="00A87895">
        <w:t xml:space="preserve"> 28 pages</w:t>
      </w:r>
    </w:p>
    <w:p w14:paraId="20F8272C" w14:textId="77777777" w:rsidR="00693FD6" w:rsidRDefault="00693FD6" w:rsidP="00693FD6">
      <w:pPr>
        <w:pStyle w:val="ListParagraph"/>
        <w:numPr>
          <w:ilvl w:val="1"/>
          <w:numId w:val="6"/>
        </w:numPr>
      </w:pPr>
      <w:r>
        <w:rPr>
          <w:u w:val="single"/>
        </w:rPr>
        <w:t>Water Law</w:t>
      </w:r>
    </w:p>
    <w:p w14:paraId="6B037569" w14:textId="77777777" w:rsidR="00693FD6" w:rsidRDefault="00693FD6" w:rsidP="00693FD6">
      <w:pPr>
        <w:pStyle w:val="ListParagraph"/>
        <w:numPr>
          <w:ilvl w:val="2"/>
          <w:numId w:val="6"/>
        </w:numPr>
      </w:pPr>
      <w:r>
        <w:t>Chapter 11 – “Intersection of Water Law and Pollution Control” – (28 pages)</w:t>
      </w:r>
    </w:p>
    <w:p w14:paraId="7EBC2059" w14:textId="77777777" w:rsidR="003014B1" w:rsidRPr="009C5CC0" w:rsidRDefault="005962CB" w:rsidP="009C5CC0">
      <w:pPr>
        <w:pStyle w:val="ListParagraph"/>
        <w:numPr>
          <w:ilvl w:val="1"/>
          <w:numId w:val="6"/>
        </w:numPr>
        <w:rPr>
          <w:rStyle w:val="Hyperlink"/>
          <w:color w:val="auto"/>
          <w:u w:val="none"/>
        </w:rPr>
      </w:pPr>
      <w:hyperlink r:id="rId16" w:history="1">
        <w:r w:rsidR="003014B1" w:rsidRPr="00AE5F31">
          <w:rPr>
            <w:rStyle w:val="Hyperlink"/>
          </w:rPr>
          <w:t>https://storymaps.arcgis.com/stories/67b7b29771b842268f878b94cb7c6d69</w:t>
        </w:r>
      </w:hyperlink>
    </w:p>
    <w:p w14:paraId="1231E30E" w14:textId="77777777" w:rsidR="009C5CC0" w:rsidRPr="009C5CC0" w:rsidRDefault="009C5CC0" w:rsidP="009C5CC0">
      <w:pPr>
        <w:pStyle w:val="ListParagraph"/>
        <w:rPr>
          <w:rStyle w:val="Hyperlink"/>
          <w:color w:val="auto"/>
          <w:u w:val="none"/>
        </w:rPr>
      </w:pPr>
    </w:p>
    <w:p w14:paraId="1EE05925" w14:textId="77777777" w:rsidR="009C5CC0" w:rsidRPr="009C5CC0" w:rsidRDefault="009C5CC0" w:rsidP="009C5CC0">
      <w:pPr>
        <w:pStyle w:val="ListParagraph"/>
        <w:numPr>
          <w:ilvl w:val="0"/>
          <w:numId w:val="6"/>
        </w:numPr>
        <w:rPr>
          <w:rStyle w:val="Hyperlink"/>
          <w:color w:val="auto"/>
          <w:u w:val="none"/>
        </w:rPr>
      </w:pPr>
      <w:r w:rsidRPr="009C5CC0">
        <w:rPr>
          <w:rStyle w:val="Hyperlink"/>
          <w:color w:val="auto"/>
        </w:rPr>
        <w:t>Key Concepts</w:t>
      </w:r>
      <w:r>
        <w:rPr>
          <w:rStyle w:val="Hyperlink"/>
          <w:color w:val="auto"/>
        </w:rPr>
        <w:t>:</w:t>
      </w:r>
    </w:p>
    <w:p w14:paraId="1FC897BE" w14:textId="77777777" w:rsidR="009C5CC0" w:rsidRPr="007760D5" w:rsidRDefault="009C5CC0" w:rsidP="009C5CC0">
      <w:pPr>
        <w:pStyle w:val="ListParagraph"/>
        <w:numPr>
          <w:ilvl w:val="1"/>
          <w:numId w:val="6"/>
        </w:numPr>
        <w:rPr>
          <w:u w:val="single"/>
        </w:rPr>
      </w:pPr>
      <w:r>
        <w:t>Overview of the Clean Water Act</w:t>
      </w:r>
    </w:p>
    <w:p w14:paraId="6D720972" w14:textId="77777777" w:rsidR="009C5CC0" w:rsidRDefault="009C5CC0" w:rsidP="009C5CC0">
      <w:pPr>
        <w:pStyle w:val="ListParagraph"/>
        <w:numPr>
          <w:ilvl w:val="1"/>
          <w:numId w:val="6"/>
        </w:numPr>
      </w:pPr>
      <w:r>
        <w:t xml:space="preserve">ACF water quality considerations </w:t>
      </w:r>
    </w:p>
    <w:p w14:paraId="4AE147CF" w14:textId="77777777" w:rsidR="009C5CC0" w:rsidRDefault="009C5CC0" w:rsidP="009C5CC0">
      <w:pPr>
        <w:pStyle w:val="ListParagraph"/>
        <w:numPr>
          <w:ilvl w:val="2"/>
          <w:numId w:val="6"/>
        </w:numPr>
      </w:pPr>
      <w:r>
        <w:t xml:space="preserve">Assimilative Flow at Peachtree Creek </w:t>
      </w:r>
    </w:p>
    <w:p w14:paraId="3F8CB188" w14:textId="77777777" w:rsidR="009C5CC0" w:rsidRDefault="009C5CC0" w:rsidP="009C5CC0">
      <w:pPr>
        <w:pStyle w:val="ListParagraph"/>
        <w:numPr>
          <w:ilvl w:val="2"/>
          <w:numId w:val="6"/>
        </w:numPr>
      </w:pPr>
      <w:r>
        <w:t xml:space="preserve">Assimilative Flow at Columbus </w:t>
      </w:r>
    </w:p>
    <w:p w14:paraId="13838660" w14:textId="77777777" w:rsidR="009C5CC0" w:rsidRDefault="009C5CC0" w:rsidP="009C5CC0">
      <w:pPr>
        <w:pStyle w:val="ListParagraph"/>
        <w:numPr>
          <w:ilvl w:val="1"/>
          <w:numId w:val="6"/>
        </w:numPr>
      </w:pPr>
      <w:r>
        <w:t xml:space="preserve">EPD’s Role:  Delegated Authority Under the Clean Water Act </w:t>
      </w:r>
    </w:p>
    <w:p w14:paraId="37C6CDCB" w14:textId="77777777" w:rsidR="009C5CC0" w:rsidRPr="009C5CC0" w:rsidRDefault="009C5CC0" w:rsidP="009C5CC0">
      <w:pPr>
        <w:pStyle w:val="ListParagraph"/>
        <w:ind w:left="1440"/>
      </w:pPr>
    </w:p>
    <w:p w14:paraId="60D1B212" w14:textId="77777777" w:rsidR="00B05F61" w:rsidRDefault="00724900" w:rsidP="00A73C85">
      <w:pPr>
        <w:rPr>
          <w:b/>
        </w:rPr>
      </w:pPr>
      <w:r w:rsidRPr="00CE2419">
        <w:rPr>
          <w:b/>
          <w:u w:val="single"/>
        </w:rPr>
        <w:t>Class #8</w:t>
      </w:r>
      <w:r w:rsidR="00D225C0">
        <w:rPr>
          <w:b/>
        </w:rPr>
        <w:t xml:space="preserve"> </w:t>
      </w:r>
      <w:r w:rsidR="00BE2B3C">
        <w:rPr>
          <w:b/>
        </w:rPr>
        <w:t xml:space="preserve">- (October 12) </w:t>
      </w:r>
      <w:r w:rsidR="00B05F61">
        <w:rPr>
          <w:b/>
        </w:rPr>
        <w:t>–</w:t>
      </w:r>
      <w:r w:rsidR="0039679F">
        <w:rPr>
          <w:b/>
        </w:rPr>
        <w:t xml:space="preserve"> </w:t>
      </w:r>
      <w:r w:rsidR="00B05F61">
        <w:rPr>
          <w:b/>
        </w:rPr>
        <w:t>MIDTERM</w:t>
      </w:r>
      <w:r w:rsidR="00551C9F">
        <w:rPr>
          <w:b/>
        </w:rPr>
        <w:t xml:space="preserve"> – In Class </w:t>
      </w:r>
    </w:p>
    <w:p w14:paraId="67A947C2" w14:textId="77777777" w:rsidR="00981B50" w:rsidRDefault="00981B50" w:rsidP="00A73C85">
      <w:pPr>
        <w:rPr>
          <w:b/>
        </w:rPr>
      </w:pPr>
    </w:p>
    <w:p w14:paraId="6432DAE8" w14:textId="77777777" w:rsidR="0039679F" w:rsidRDefault="00D225C0" w:rsidP="00B05F61">
      <w:pPr>
        <w:rPr>
          <w:b/>
        </w:rPr>
      </w:pPr>
      <w:r w:rsidRPr="00CE2419">
        <w:rPr>
          <w:b/>
          <w:u w:val="single"/>
        </w:rPr>
        <w:t>Class #9</w:t>
      </w:r>
      <w:r w:rsidR="00D53AA8">
        <w:rPr>
          <w:b/>
        </w:rPr>
        <w:t xml:space="preserve"> – </w:t>
      </w:r>
      <w:r w:rsidR="0039679F">
        <w:rPr>
          <w:b/>
        </w:rPr>
        <w:t>(O</w:t>
      </w:r>
      <w:r w:rsidR="00B05F61">
        <w:rPr>
          <w:b/>
        </w:rPr>
        <w:t>ctober 19</w:t>
      </w:r>
      <w:r w:rsidR="0039679F">
        <w:rPr>
          <w:b/>
        </w:rPr>
        <w:t xml:space="preserve">) - </w:t>
      </w:r>
      <w:r w:rsidR="00D53AA8">
        <w:rPr>
          <w:b/>
        </w:rPr>
        <w:t>Endangered Species Act</w:t>
      </w:r>
      <w:r w:rsidR="0039679F">
        <w:rPr>
          <w:b/>
        </w:rPr>
        <w:t xml:space="preserve"> </w:t>
      </w:r>
    </w:p>
    <w:p w14:paraId="0E04D2AC" w14:textId="77777777" w:rsidR="00A73C85" w:rsidRPr="00C87571" w:rsidRDefault="00C87571" w:rsidP="00A73C85">
      <w:pPr>
        <w:pStyle w:val="ListParagraph"/>
        <w:numPr>
          <w:ilvl w:val="0"/>
          <w:numId w:val="3"/>
        </w:numPr>
        <w:rPr>
          <w:b/>
        </w:rPr>
      </w:pPr>
      <w:r>
        <w:rPr>
          <w:u w:val="single"/>
        </w:rPr>
        <w:t>Reading List:</w:t>
      </w:r>
    </w:p>
    <w:p w14:paraId="6A12C289" w14:textId="77777777" w:rsidR="00C87571" w:rsidRPr="00C87571" w:rsidRDefault="00C87571" w:rsidP="00C87571">
      <w:pPr>
        <w:pStyle w:val="ListParagraph"/>
        <w:numPr>
          <w:ilvl w:val="1"/>
          <w:numId w:val="3"/>
        </w:numPr>
        <w:rPr>
          <w:b/>
        </w:rPr>
      </w:pPr>
      <w:r>
        <w:rPr>
          <w:u w:val="single"/>
        </w:rPr>
        <w:t>Whose Drop Is It Anyway?</w:t>
      </w:r>
      <w:r>
        <w:t xml:space="preserve"> </w:t>
      </w:r>
    </w:p>
    <w:p w14:paraId="6CBDE87E" w14:textId="77777777" w:rsidR="00C87571" w:rsidRPr="00C87571" w:rsidRDefault="00C87571" w:rsidP="00C87571">
      <w:pPr>
        <w:pStyle w:val="ListParagraph"/>
        <w:numPr>
          <w:ilvl w:val="2"/>
          <w:numId w:val="3"/>
        </w:numPr>
        <w:rPr>
          <w:b/>
        </w:rPr>
      </w:pPr>
      <w:r>
        <w:t>Chapter 3 – “Using the Endangered Species Act to Control Water Resources” – (30 pages)</w:t>
      </w:r>
    </w:p>
    <w:p w14:paraId="4C8D2B19" w14:textId="77777777" w:rsidR="00C87571" w:rsidRPr="00C87571" w:rsidRDefault="00C87571" w:rsidP="00C87571">
      <w:pPr>
        <w:pStyle w:val="ListParagraph"/>
        <w:numPr>
          <w:ilvl w:val="1"/>
          <w:numId w:val="3"/>
        </w:numPr>
        <w:rPr>
          <w:b/>
        </w:rPr>
      </w:pPr>
      <w:r>
        <w:rPr>
          <w:u w:val="single"/>
        </w:rPr>
        <w:t>Water Law</w:t>
      </w:r>
    </w:p>
    <w:p w14:paraId="5EBB4BB3" w14:textId="77777777" w:rsidR="00C87571" w:rsidRPr="00B05F61" w:rsidRDefault="00C87571" w:rsidP="00C87571">
      <w:pPr>
        <w:pStyle w:val="ListParagraph"/>
        <w:numPr>
          <w:ilvl w:val="2"/>
          <w:numId w:val="3"/>
        </w:numPr>
        <w:rPr>
          <w:b/>
        </w:rPr>
      </w:pPr>
      <w:r>
        <w:t xml:space="preserve">Chapter 12 </w:t>
      </w:r>
      <w:r w:rsidR="00D53AA8">
        <w:t>– “The Human Use of Water and Endangered Species” – (32 pages)</w:t>
      </w:r>
    </w:p>
    <w:p w14:paraId="52540843" w14:textId="77777777" w:rsidR="007760D5" w:rsidRPr="00D53AA8" w:rsidRDefault="007760D5" w:rsidP="00A73C85">
      <w:pPr>
        <w:pStyle w:val="ListParagraph"/>
        <w:numPr>
          <w:ilvl w:val="1"/>
          <w:numId w:val="3"/>
        </w:numPr>
        <w:rPr>
          <w:b/>
        </w:rPr>
      </w:pPr>
      <w:r>
        <w:t>Endangered Species Act – (select parts)</w:t>
      </w:r>
    </w:p>
    <w:p w14:paraId="7CCDE44D" w14:textId="77777777" w:rsidR="00D53AA8" w:rsidRPr="00D53AA8" w:rsidRDefault="00D53AA8" w:rsidP="00A73C85">
      <w:pPr>
        <w:pStyle w:val="ListParagraph"/>
        <w:numPr>
          <w:ilvl w:val="1"/>
          <w:numId w:val="3"/>
        </w:numPr>
        <w:rPr>
          <w:b/>
        </w:rPr>
      </w:pPr>
      <w:r>
        <w:t>Habitat Conservation Planning – ESA</w:t>
      </w:r>
    </w:p>
    <w:p w14:paraId="01BC68BE" w14:textId="77777777" w:rsidR="004E1E1C" w:rsidRPr="004E1E1C" w:rsidRDefault="00D53AA8" w:rsidP="004E1E1C">
      <w:pPr>
        <w:pStyle w:val="ListParagraph"/>
        <w:numPr>
          <w:ilvl w:val="2"/>
          <w:numId w:val="3"/>
        </w:numPr>
        <w:rPr>
          <w:b/>
        </w:rPr>
      </w:pPr>
      <w:proofErr w:type="spellStart"/>
      <w:r>
        <w:rPr>
          <w:i/>
        </w:rPr>
        <w:t>Aransus</w:t>
      </w:r>
      <w:proofErr w:type="spellEnd"/>
      <w:r>
        <w:rPr>
          <w:i/>
        </w:rPr>
        <w:t xml:space="preserve"> </w:t>
      </w:r>
      <w:r w:rsidR="00390A8B">
        <w:rPr>
          <w:i/>
        </w:rPr>
        <w:t>v. Shaw</w:t>
      </w:r>
      <w:r w:rsidR="00BB01EB">
        <w:t>, F.3d 801 (5th Cir. 2014)</w:t>
      </w:r>
    </w:p>
    <w:p w14:paraId="340B03C9" w14:textId="77777777" w:rsidR="005762A0" w:rsidRPr="006D7F43" w:rsidRDefault="005962CB" w:rsidP="005762A0">
      <w:pPr>
        <w:pStyle w:val="ListParagraph"/>
        <w:numPr>
          <w:ilvl w:val="2"/>
          <w:numId w:val="3"/>
        </w:numPr>
        <w:rPr>
          <w:rStyle w:val="Hyperlink"/>
          <w:color w:val="auto"/>
          <w:u w:val="none"/>
        </w:rPr>
      </w:pPr>
      <w:hyperlink r:id="rId17" w:history="1">
        <w:r w:rsidR="004E1E1C" w:rsidRPr="00AE5F31">
          <w:rPr>
            <w:rStyle w:val="Hyperlink"/>
          </w:rPr>
          <w:t>https://casetext.com/case/aransas-project-v-shaw-3</w:t>
        </w:r>
      </w:hyperlink>
    </w:p>
    <w:p w14:paraId="259D09CB" w14:textId="77777777" w:rsidR="006D7F43" w:rsidRPr="005762A0" w:rsidRDefault="006D7F43" w:rsidP="006D7F43">
      <w:pPr>
        <w:pStyle w:val="ListParagraph"/>
        <w:ind w:left="2208"/>
        <w:rPr>
          <w:rStyle w:val="Hyperlink"/>
          <w:color w:val="auto"/>
          <w:u w:val="none"/>
        </w:rPr>
      </w:pPr>
    </w:p>
    <w:p w14:paraId="148D7E13" w14:textId="77777777" w:rsidR="005762A0" w:rsidRPr="001F2BBF" w:rsidRDefault="005762A0" w:rsidP="005762A0">
      <w:pPr>
        <w:pStyle w:val="ListParagraph"/>
        <w:numPr>
          <w:ilvl w:val="0"/>
          <w:numId w:val="3"/>
        </w:numPr>
        <w:rPr>
          <w:b/>
        </w:rPr>
      </w:pPr>
      <w:r>
        <w:rPr>
          <w:u w:val="single"/>
        </w:rPr>
        <w:t xml:space="preserve">Key Concepts:  Endangered Species (aquatic) </w:t>
      </w:r>
    </w:p>
    <w:p w14:paraId="132A63C4" w14:textId="77777777" w:rsidR="005762A0" w:rsidRPr="001F2BBF" w:rsidRDefault="005762A0" w:rsidP="005762A0">
      <w:pPr>
        <w:pStyle w:val="ListParagraph"/>
        <w:numPr>
          <w:ilvl w:val="1"/>
          <w:numId w:val="3"/>
        </w:numPr>
        <w:rPr>
          <w:b/>
        </w:rPr>
      </w:pPr>
      <w:r>
        <w:t xml:space="preserve">Role of ESA in reservoir operations for Apalachicola listed </w:t>
      </w:r>
      <w:proofErr w:type="gramStart"/>
      <w:r>
        <w:t>species</w:t>
      </w:r>
      <w:proofErr w:type="gramEnd"/>
    </w:p>
    <w:p w14:paraId="5C4206E8" w14:textId="77777777" w:rsidR="005762A0" w:rsidRPr="001F2BBF" w:rsidRDefault="005762A0" w:rsidP="005762A0">
      <w:pPr>
        <w:pStyle w:val="ListParagraph"/>
        <w:numPr>
          <w:ilvl w:val="1"/>
          <w:numId w:val="3"/>
        </w:numPr>
        <w:rPr>
          <w:b/>
        </w:rPr>
      </w:pPr>
      <w:r>
        <w:t>ESA considerations in Georgia</w:t>
      </w:r>
    </w:p>
    <w:p w14:paraId="6C0FCEAA" w14:textId="77777777" w:rsidR="005762A0" w:rsidRPr="007760D5" w:rsidRDefault="005762A0" w:rsidP="005762A0">
      <w:pPr>
        <w:pStyle w:val="ListParagraph"/>
        <w:numPr>
          <w:ilvl w:val="2"/>
          <w:numId w:val="3"/>
        </w:numPr>
        <w:rPr>
          <w:b/>
        </w:rPr>
      </w:pPr>
      <w:r>
        <w:lastRenderedPageBreak/>
        <w:t>Agricultural Water Use</w:t>
      </w:r>
    </w:p>
    <w:p w14:paraId="35784E8A" w14:textId="77777777" w:rsidR="005762A0" w:rsidRPr="007760D5" w:rsidRDefault="005762A0" w:rsidP="005762A0">
      <w:pPr>
        <w:pStyle w:val="ListParagraph"/>
        <w:numPr>
          <w:ilvl w:val="1"/>
          <w:numId w:val="3"/>
        </w:numPr>
        <w:rPr>
          <w:b/>
        </w:rPr>
      </w:pPr>
      <w:r>
        <w:t>Habitat Conservation Plan – What is an HCP?</w:t>
      </w:r>
    </w:p>
    <w:p w14:paraId="6369C47F" w14:textId="77777777" w:rsidR="005762A0" w:rsidRPr="007760D5" w:rsidRDefault="005762A0" w:rsidP="005762A0">
      <w:pPr>
        <w:pStyle w:val="ListParagraph"/>
        <w:numPr>
          <w:ilvl w:val="2"/>
          <w:numId w:val="3"/>
        </w:numPr>
        <w:rPr>
          <w:b/>
        </w:rPr>
      </w:pPr>
      <w:r>
        <w:t xml:space="preserve">Incidental Take Permits under HCP  </w:t>
      </w:r>
    </w:p>
    <w:p w14:paraId="6BA41719" w14:textId="77777777" w:rsidR="005762A0" w:rsidRPr="002900C5" w:rsidRDefault="005762A0" w:rsidP="005762A0">
      <w:pPr>
        <w:pStyle w:val="ListParagraph"/>
        <w:numPr>
          <w:ilvl w:val="2"/>
          <w:numId w:val="3"/>
        </w:numPr>
        <w:rPr>
          <w:b/>
        </w:rPr>
      </w:pPr>
      <w:r>
        <w:t>Section 10, Section 6, Section 7</w:t>
      </w:r>
    </w:p>
    <w:p w14:paraId="1117078E" w14:textId="77777777" w:rsidR="002900C5" w:rsidRPr="006D7F43" w:rsidRDefault="002900C5" w:rsidP="002900C5">
      <w:pPr>
        <w:pStyle w:val="ListParagraph"/>
        <w:ind w:left="2208"/>
        <w:rPr>
          <w:b/>
        </w:rPr>
      </w:pPr>
    </w:p>
    <w:p w14:paraId="3B899499" w14:textId="77777777" w:rsidR="008A7624" w:rsidRPr="00B05F61" w:rsidRDefault="008A7624" w:rsidP="008A7624">
      <w:pPr>
        <w:pStyle w:val="ListParagraph"/>
        <w:numPr>
          <w:ilvl w:val="0"/>
          <w:numId w:val="3"/>
        </w:numPr>
      </w:pPr>
      <w:r w:rsidRPr="00B05F61">
        <w:rPr>
          <w:b/>
        </w:rPr>
        <w:t>Guest Speaker – Mark Masters</w:t>
      </w:r>
    </w:p>
    <w:p w14:paraId="28168C66" w14:textId="77777777" w:rsidR="008A7624" w:rsidRDefault="008A7624" w:rsidP="008A7624">
      <w:pPr>
        <w:pStyle w:val="ListParagraph"/>
        <w:numPr>
          <w:ilvl w:val="1"/>
          <w:numId w:val="3"/>
        </w:numPr>
      </w:pPr>
      <w:r>
        <w:rPr>
          <w:b/>
        </w:rPr>
        <w:t>Agricultural Water Use and Planning</w:t>
      </w:r>
    </w:p>
    <w:p w14:paraId="0414DE3B" w14:textId="77777777" w:rsidR="008A7624" w:rsidRPr="008A7624" w:rsidRDefault="008A7624" w:rsidP="008A7624">
      <w:pPr>
        <w:pStyle w:val="ListParagraph"/>
        <w:numPr>
          <w:ilvl w:val="1"/>
          <w:numId w:val="3"/>
        </w:numPr>
      </w:pPr>
      <w:r w:rsidRPr="00B05F61">
        <w:rPr>
          <w:b/>
        </w:rPr>
        <w:t>Habitat Conservation Planning in Lower Flint Basin</w:t>
      </w:r>
    </w:p>
    <w:p w14:paraId="2F9E2140" w14:textId="77777777" w:rsidR="008A7624" w:rsidRPr="00B05F61" w:rsidRDefault="008A7624" w:rsidP="008A7624">
      <w:pPr>
        <w:pStyle w:val="ListParagraph"/>
        <w:numPr>
          <w:ilvl w:val="1"/>
          <w:numId w:val="3"/>
        </w:numPr>
      </w:pPr>
      <w:r>
        <w:rPr>
          <w:b/>
        </w:rPr>
        <w:t>Apalachicola-Flint-Chattahoochee Stakeholders (ACFS)</w:t>
      </w:r>
      <w:r w:rsidRPr="00B05F61">
        <w:rPr>
          <w:b/>
        </w:rPr>
        <w:t xml:space="preserve"> </w:t>
      </w:r>
    </w:p>
    <w:p w14:paraId="606E6758" w14:textId="77777777" w:rsidR="002900C5" w:rsidRPr="00C87571" w:rsidRDefault="002900C5" w:rsidP="002900C5">
      <w:pPr>
        <w:pStyle w:val="ListParagraph"/>
        <w:ind w:left="2208"/>
        <w:rPr>
          <w:b/>
        </w:rPr>
      </w:pPr>
    </w:p>
    <w:p w14:paraId="067F85AC" w14:textId="77777777" w:rsidR="002900C5" w:rsidRDefault="002900C5" w:rsidP="002900C5">
      <w:pPr>
        <w:rPr>
          <w:b/>
        </w:rPr>
      </w:pPr>
      <w:r w:rsidRPr="00CE2419">
        <w:rPr>
          <w:b/>
          <w:u w:val="single"/>
        </w:rPr>
        <w:t>Class #10</w:t>
      </w:r>
      <w:r>
        <w:rPr>
          <w:b/>
        </w:rPr>
        <w:t xml:space="preserve"> – (October 26) </w:t>
      </w:r>
    </w:p>
    <w:p w14:paraId="6537BDC5" w14:textId="77777777" w:rsidR="005762A0" w:rsidRPr="008A3FE9" w:rsidRDefault="005762A0" w:rsidP="005762A0">
      <w:pPr>
        <w:pStyle w:val="ListParagraph"/>
        <w:numPr>
          <w:ilvl w:val="0"/>
          <w:numId w:val="7"/>
        </w:numPr>
      </w:pPr>
      <w:r>
        <w:rPr>
          <w:u w:val="single"/>
        </w:rPr>
        <w:t xml:space="preserve">Reading List: </w:t>
      </w:r>
    </w:p>
    <w:p w14:paraId="267827CD" w14:textId="77777777" w:rsidR="008A3FE9" w:rsidRPr="00B05F61" w:rsidRDefault="008A3FE9" w:rsidP="008A3FE9">
      <w:pPr>
        <w:pStyle w:val="ListParagraph"/>
        <w:numPr>
          <w:ilvl w:val="1"/>
          <w:numId w:val="7"/>
        </w:numPr>
        <w:rPr>
          <w:b/>
        </w:rPr>
      </w:pPr>
      <w:r>
        <w:t xml:space="preserve">Visioneering America, Inc.: Lower Flint Basin Habitat Conservation Report </w:t>
      </w:r>
    </w:p>
    <w:p w14:paraId="6A9BB943" w14:textId="77777777" w:rsidR="008A3FE9" w:rsidRPr="002900C5" w:rsidRDefault="008A3FE9" w:rsidP="008A3FE9">
      <w:pPr>
        <w:pStyle w:val="ListParagraph"/>
        <w:numPr>
          <w:ilvl w:val="2"/>
          <w:numId w:val="7"/>
        </w:numPr>
        <w:rPr>
          <w:b/>
        </w:rPr>
      </w:pPr>
      <w:r w:rsidRPr="002900C5">
        <w:t xml:space="preserve">Pdf made </w:t>
      </w:r>
      <w:proofErr w:type="gramStart"/>
      <w:r w:rsidRPr="002900C5">
        <w:t>available</w:t>
      </w:r>
      <w:proofErr w:type="gramEnd"/>
      <w:r w:rsidRPr="002900C5">
        <w:t xml:space="preserve"> </w:t>
      </w:r>
    </w:p>
    <w:p w14:paraId="731F3EB7" w14:textId="77777777" w:rsidR="008A3FE9" w:rsidRPr="002900C5" w:rsidRDefault="008A3FE9" w:rsidP="008A3FE9">
      <w:pPr>
        <w:pStyle w:val="ListParagraph"/>
        <w:numPr>
          <w:ilvl w:val="1"/>
          <w:numId w:val="7"/>
        </w:numPr>
        <w:rPr>
          <w:b/>
        </w:rPr>
      </w:pPr>
      <w:r w:rsidRPr="002900C5">
        <w:t>Biological Opinions (2012, 2016) (select parts)</w:t>
      </w:r>
    </w:p>
    <w:p w14:paraId="10B5EA98" w14:textId="77777777" w:rsidR="003E1036" w:rsidRPr="002900C5" w:rsidRDefault="008A3FE9" w:rsidP="003E1036">
      <w:pPr>
        <w:pStyle w:val="ListParagraph"/>
        <w:numPr>
          <w:ilvl w:val="1"/>
          <w:numId w:val="7"/>
        </w:numPr>
      </w:pPr>
      <w:r w:rsidRPr="002900C5">
        <w:t>Magnuson Phase II Decision</w:t>
      </w:r>
    </w:p>
    <w:p w14:paraId="2DF5834A" w14:textId="77777777" w:rsidR="003E1036" w:rsidRPr="002900C5" w:rsidRDefault="008A3FE9" w:rsidP="003E1036">
      <w:pPr>
        <w:pStyle w:val="ListParagraph"/>
        <w:numPr>
          <w:ilvl w:val="1"/>
          <w:numId w:val="7"/>
        </w:numPr>
      </w:pPr>
      <w:r w:rsidRPr="002900C5">
        <w:t xml:space="preserve">2006 Flint Plan </w:t>
      </w:r>
    </w:p>
    <w:p w14:paraId="3EBA7EF5" w14:textId="77777777" w:rsidR="008A3FE9" w:rsidRDefault="005962CB" w:rsidP="003E1036">
      <w:pPr>
        <w:pStyle w:val="ListParagraph"/>
        <w:numPr>
          <w:ilvl w:val="2"/>
          <w:numId w:val="7"/>
        </w:numPr>
      </w:pPr>
      <w:hyperlink r:id="rId18" w:history="1">
        <w:r w:rsidR="008A3FE9" w:rsidRPr="00AE5F31">
          <w:rPr>
            <w:rStyle w:val="Hyperlink"/>
          </w:rPr>
          <w:t>https://epd.georgia.gov/georgia-river-basin-management-planning/georgia-flint-river-basin-plan</w:t>
        </w:r>
      </w:hyperlink>
    </w:p>
    <w:p w14:paraId="13A54503" w14:textId="77777777" w:rsidR="008A3FE9" w:rsidRPr="005762A0" w:rsidRDefault="008A3FE9" w:rsidP="008A3FE9">
      <w:pPr>
        <w:pStyle w:val="ListParagraph"/>
        <w:numPr>
          <w:ilvl w:val="1"/>
          <w:numId w:val="7"/>
        </w:numPr>
      </w:pPr>
    </w:p>
    <w:p w14:paraId="46554CEC" w14:textId="77777777" w:rsidR="005762A0" w:rsidRDefault="005762A0" w:rsidP="005762A0">
      <w:pPr>
        <w:pStyle w:val="ListParagraph"/>
        <w:numPr>
          <w:ilvl w:val="0"/>
          <w:numId w:val="7"/>
        </w:numPr>
      </w:pPr>
      <w:r>
        <w:rPr>
          <w:u w:val="single"/>
        </w:rPr>
        <w:t>Key Concepts:</w:t>
      </w:r>
      <w:r>
        <w:t xml:space="preserve"> </w:t>
      </w:r>
    </w:p>
    <w:p w14:paraId="5174C27D" w14:textId="77777777" w:rsidR="005762A0" w:rsidRDefault="005762A0" w:rsidP="005762A0">
      <w:pPr>
        <w:pStyle w:val="ListParagraph"/>
        <w:numPr>
          <w:ilvl w:val="1"/>
          <w:numId w:val="7"/>
        </w:numPr>
      </w:pPr>
      <w:r>
        <w:t>State’s Drought Response</w:t>
      </w:r>
    </w:p>
    <w:p w14:paraId="07561D90" w14:textId="77777777" w:rsidR="007760D5" w:rsidRDefault="007760D5" w:rsidP="005762A0">
      <w:pPr>
        <w:pStyle w:val="ListParagraph"/>
        <w:numPr>
          <w:ilvl w:val="2"/>
          <w:numId w:val="7"/>
        </w:numPr>
      </w:pPr>
      <w:r>
        <w:t xml:space="preserve">Municipal and Industrial Use </w:t>
      </w:r>
    </w:p>
    <w:p w14:paraId="0DB8E339" w14:textId="77777777" w:rsidR="007760D5" w:rsidRDefault="007760D5" w:rsidP="005762A0">
      <w:pPr>
        <w:pStyle w:val="ListParagraph"/>
        <w:numPr>
          <w:ilvl w:val="3"/>
          <w:numId w:val="7"/>
        </w:numPr>
      </w:pPr>
      <w:r>
        <w:t>Outdoor water</w:t>
      </w:r>
      <w:r w:rsidR="005762A0">
        <w:t>ing</w:t>
      </w:r>
      <w:r>
        <w:t xml:space="preserve"> bands – challenges with restrictions and revenue bond payback</w:t>
      </w:r>
    </w:p>
    <w:p w14:paraId="08F1C73F" w14:textId="77777777" w:rsidR="007760D5" w:rsidRDefault="005762A0" w:rsidP="005762A0">
      <w:pPr>
        <w:pStyle w:val="ListParagraph"/>
        <w:numPr>
          <w:ilvl w:val="2"/>
          <w:numId w:val="7"/>
        </w:numPr>
      </w:pPr>
      <w:r>
        <w:t>Agricultural Use</w:t>
      </w:r>
    </w:p>
    <w:p w14:paraId="3E755E94" w14:textId="77777777" w:rsidR="007760D5" w:rsidRDefault="007760D5" w:rsidP="005762A0">
      <w:pPr>
        <w:pStyle w:val="ListParagraph"/>
        <w:numPr>
          <w:ilvl w:val="3"/>
          <w:numId w:val="7"/>
        </w:numPr>
      </w:pPr>
      <w:r>
        <w:t xml:space="preserve">Initial </w:t>
      </w:r>
      <w:r w:rsidR="008A3FE9">
        <w:t xml:space="preserve">Agricultural Permit </w:t>
      </w:r>
      <w:r>
        <w:t>Moratorium</w:t>
      </w:r>
    </w:p>
    <w:p w14:paraId="37BA316D" w14:textId="77777777" w:rsidR="008A3FE9" w:rsidRDefault="008A3FE9" w:rsidP="005762A0">
      <w:pPr>
        <w:pStyle w:val="ListParagraph"/>
        <w:numPr>
          <w:ilvl w:val="3"/>
          <w:numId w:val="7"/>
        </w:numPr>
      </w:pPr>
      <w:r>
        <w:t>2006 Flint Plan</w:t>
      </w:r>
    </w:p>
    <w:p w14:paraId="7D06FE62" w14:textId="77777777" w:rsidR="007760D5" w:rsidRDefault="007760D5" w:rsidP="005762A0">
      <w:pPr>
        <w:pStyle w:val="ListParagraph"/>
        <w:numPr>
          <w:ilvl w:val="3"/>
          <w:numId w:val="7"/>
        </w:numPr>
      </w:pPr>
      <w:r>
        <w:t xml:space="preserve">2012 Moratorium </w:t>
      </w:r>
    </w:p>
    <w:p w14:paraId="1059E300" w14:textId="77777777" w:rsidR="005762A0" w:rsidRPr="007760D5" w:rsidRDefault="005762A0" w:rsidP="005762A0">
      <w:pPr>
        <w:pStyle w:val="ListParagraph"/>
        <w:numPr>
          <w:ilvl w:val="3"/>
          <w:numId w:val="7"/>
        </w:numPr>
      </w:pPr>
      <w:r>
        <w:t xml:space="preserve">Habitat Conservation Planning </w:t>
      </w:r>
    </w:p>
    <w:p w14:paraId="636631F7" w14:textId="77777777" w:rsidR="00A73C85" w:rsidRDefault="00724900" w:rsidP="00A73C85">
      <w:pPr>
        <w:rPr>
          <w:b/>
        </w:rPr>
      </w:pPr>
      <w:r w:rsidRPr="00CE2419">
        <w:rPr>
          <w:b/>
          <w:u w:val="single"/>
        </w:rPr>
        <w:t>Class #</w:t>
      </w:r>
      <w:r w:rsidR="00D225C0" w:rsidRPr="00CE2419">
        <w:rPr>
          <w:b/>
          <w:u w:val="single"/>
        </w:rPr>
        <w:t>11</w:t>
      </w:r>
      <w:r>
        <w:rPr>
          <w:b/>
        </w:rPr>
        <w:t xml:space="preserve"> – </w:t>
      </w:r>
      <w:r w:rsidR="0039679F">
        <w:rPr>
          <w:b/>
        </w:rPr>
        <w:t>(N</w:t>
      </w:r>
      <w:r w:rsidR="00B05F61">
        <w:rPr>
          <w:b/>
        </w:rPr>
        <w:t>ovember 2</w:t>
      </w:r>
      <w:r w:rsidR="0039679F">
        <w:rPr>
          <w:b/>
        </w:rPr>
        <w:t xml:space="preserve">) - </w:t>
      </w:r>
      <w:r>
        <w:rPr>
          <w:b/>
        </w:rPr>
        <w:t>Shared River Basin Management and Conflict Resolution</w:t>
      </w:r>
    </w:p>
    <w:p w14:paraId="6297CF0F" w14:textId="77777777" w:rsidR="00D53AA8" w:rsidRPr="00D53AA8" w:rsidRDefault="00D53AA8" w:rsidP="00D53AA8">
      <w:pPr>
        <w:pStyle w:val="ListParagraph"/>
        <w:numPr>
          <w:ilvl w:val="0"/>
          <w:numId w:val="7"/>
        </w:numPr>
        <w:rPr>
          <w:b/>
        </w:rPr>
      </w:pPr>
      <w:r>
        <w:rPr>
          <w:u w:val="single"/>
        </w:rPr>
        <w:t>Reading List:</w:t>
      </w:r>
      <w:r w:rsidR="00983432">
        <w:t xml:space="preserve"> 43 pages</w:t>
      </w:r>
    </w:p>
    <w:p w14:paraId="74EF55BA" w14:textId="77777777" w:rsidR="00D53AA8" w:rsidRPr="00D53AA8" w:rsidRDefault="00D53AA8" w:rsidP="00D53AA8">
      <w:pPr>
        <w:pStyle w:val="ListParagraph"/>
        <w:numPr>
          <w:ilvl w:val="1"/>
          <w:numId w:val="7"/>
        </w:numPr>
        <w:rPr>
          <w:b/>
        </w:rPr>
      </w:pPr>
      <w:r>
        <w:rPr>
          <w:u w:val="single"/>
        </w:rPr>
        <w:t xml:space="preserve">Subnational </w:t>
      </w:r>
      <w:proofErr w:type="spellStart"/>
      <w:r w:rsidRPr="00AF628F">
        <w:rPr>
          <w:u w:val="single"/>
        </w:rPr>
        <w:t>Hydopolitics</w:t>
      </w:r>
      <w:proofErr w:type="spellEnd"/>
    </w:p>
    <w:p w14:paraId="1CB8B443" w14:textId="77777777" w:rsidR="00D53AA8" w:rsidRPr="00D53AA8" w:rsidRDefault="00D53AA8" w:rsidP="00D53AA8">
      <w:pPr>
        <w:pStyle w:val="ListParagraph"/>
        <w:numPr>
          <w:ilvl w:val="2"/>
          <w:numId w:val="7"/>
        </w:numPr>
        <w:rPr>
          <w:b/>
        </w:rPr>
      </w:pPr>
      <w:r w:rsidRPr="00D53AA8">
        <w:t>Chapter</w:t>
      </w:r>
      <w:r>
        <w:t xml:space="preserve"> 3 – “Dynamics of </w:t>
      </w:r>
      <w:proofErr w:type="spellStart"/>
      <w:r>
        <w:t>Hydropolitics</w:t>
      </w:r>
      <w:proofErr w:type="spellEnd"/>
      <w:r>
        <w:t xml:space="preserve">” (17 pages) </w:t>
      </w:r>
    </w:p>
    <w:p w14:paraId="74E83332" w14:textId="77777777" w:rsidR="00D53AA8" w:rsidRPr="00D53AA8" w:rsidRDefault="00D53AA8" w:rsidP="00D53AA8">
      <w:pPr>
        <w:pStyle w:val="ListParagraph"/>
        <w:numPr>
          <w:ilvl w:val="1"/>
          <w:numId w:val="7"/>
        </w:numPr>
        <w:rPr>
          <w:b/>
        </w:rPr>
      </w:pPr>
      <w:r>
        <w:rPr>
          <w:u w:val="single"/>
        </w:rPr>
        <w:t>Water Law</w:t>
      </w:r>
    </w:p>
    <w:p w14:paraId="0B010299" w14:textId="77777777" w:rsidR="00D53AA8" w:rsidRPr="00BB01EB" w:rsidRDefault="00D53AA8" w:rsidP="00D53AA8">
      <w:pPr>
        <w:pStyle w:val="ListParagraph"/>
        <w:numPr>
          <w:ilvl w:val="2"/>
          <w:numId w:val="7"/>
        </w:numPr>
        <w:rPr>
          <w:b/>
        </w:rPr>
      </w:pPr>
      <w:r>
        <w:t>Chapter 9 – “Interstate Water Pollution, Apportionment and Management” – (26 pages)</w:t>
      </w:r>
    </w:p>
    <w:p w14:paraId="40CD5DC1" w14:textId="77777777" w:rsidR="00BB01EB" w:rsidRPr="00540FFE" w:rsidRDefault="00BB01EB" w:rsidP="00BB01EB">
      <w:pPr>
        <w:pStyle w:val="ListParagraph"/>
        <w:ind w:left="2160"/>
        <w:rPr>
          <w:b/>
        </w:rPr>
      </w:pPr>
    </w:p>
    <w:p w14:paraId="21929B78" w14:textId="77777777" w:rsidR="00540FFE" w:rsidRPr="00BB01EB" w:rsidRDefault="00BB01EB" w:rsidP="00540FFE">
      <w:pPr>
        <w:pStyle w:val="ListParagraph"/>
        <w:numPr>
          <w:ilvl w:val="1"/>
          <w:numId w:val="7"/>
        </w:numPr>
        <w:rPr>
          <w:b/>
        </w:rPr>
      </w:pPr>
      <w:r>
        <w:t>Apalachicola-Chattahoochee-Flint River Basin Compact, Pub. L. No. 105-104, 111 Stat. 2219 (1997)</w:t>
      </w:r>
    </w:p>
    <w:p w14:paraId="106302B8" w14:textId="77777777" w:rsidR="00BB01EB" w:rsidRDefault="005962CB" w:rsidP="00BB01EB">
      <w:pPr>
        <w:pStyle w:val="ListParagraph"/>
        <w:numPr>
          <w:ilvl w:val="2"/>
          <w:numId w:val="7"/>
        </w:numPr>
      </w:pPr>
      <w:hyperlink r:id="rId19" w:history="1">
        <w:r w:rsidR="00BB01EB" w:rsidRPr="00AE5F31">
          <w:rPr>
            <w:rStyle w:val="Hyperlink"/>
          </w:rPr>
          <w:t>https://www.congress.gov/bill/105th-congress/house-joint-resolution/91/text</w:t>
        </w:r>
      </w:hyperlink>
    </w:p>
    <w:p w14:paraId="416C0231" w14:textId="77777777" w:rsidR="00BB01EB" w:rsidRPr="00BB01EB" w:rsidRDefault="00BB01EB" w:rsidP="00BB01EB">
      <w:pPr>
        <w:pStyle w:val="ListParagraph"/>
        <w:ind w:left="2160"/>
      </w:pPr>
    </w:p>
    <w:p w14:paraId="679CF83A" w14:textId="77777777" w:rsidR="005F5916" w:rsidRPr="00A87895" w:rsidRDefault="005F5916" w:rsidP="00540FFE">
      <w:pPr>
        <w:pStyle w:val="ListParagraph"/>
        <w:numPr>
          <w:ilvl w:val="1"/>
          <w:numId w:val="7"/>
        </w:numPr>
        <w:rPr>
          <w:b/>
        </w:rPr>
      </w:pPr>
      <w:r>
        <w:t>ACFS S</w:t>
      </w:r>
      <w:r w:rsidR="008A3FE9">
        <w:t>W</w:t>
      </w:r>
      <w:r w:rsidR="009843D9">
        <w:t>MP</w:t>
      </w:r>
    </w:p>
    <w:p w14:paraId="0BEBAE87" w14:textId="77777777" w:rsidR="009C5CC0" w:rsidRPr="009C5CC0" w:rsidRDefault="005962CB" w:rsidP="009C5CC0">
      <w:pPr>
        <w:pStyle w:val="ListParagraph"/>
        <w:numPr>
          <w:ilvl w:val="2"/>
          <w:numId w:val="7"/>
        </w:numPr>
        <w:rPr>
          <w:rStyle w:val="Hyperlink"/>
          <w:color w:val="auto"/>
          <w:u w:val="none"/>
        </w:rPr>
      </w:pPr>
      <w:hyperlink r:id="rId20" w:history="1">
        <w:r w:rsidR="00A87895" w:rsidRPr="00A87895">
          <w:rPr>
            <w:rStyle w:val="Hyperlink"/>
          </w:rPr>
          <w:t>https://www.acfstakeholders.org/_files/ugd/f8e0c1_50131a17d65a427ba277021282819926.pdf</w:t>
        </w:r>
      </w:hyperlink>
    </w:p>
    <w:p w14:paraId="6B932245" w14:textId="77777777" w:rsidR="009C5CC0" w:rsidRDefault="009C5CC0" w:rsidP="009C5CC0">
      <w:pPr>
        <w:pStyle w:val="ListParagraph"/>
        <w:numPr>
          <w:ilvl w:val="0"/>
          <w:numId w:val="7"/>
        </w:numPr>
        <w:rPr>
          <w:rStyle w:val="Hyperlink"/>
          <w:color w:val="auto"/>
          <w:u w:val="none"/>
        </w:rPr>
      </w:pPr>
      <w:r w:rsidRPr="009C5CC0">
        <w:rPr>
          <w:rStyle w:val="Hyperlink"/>
          <w:color w:val="auto"/>
        </w:rPr>
        <w:t>Key Concepts</w:t>
      </w:r>
      <w:r>
        <w:rPr>
          <w:rStyle w:val="Hyperlink"/>
          <w:color w:val="auto"/>
        </w:rPr>
        <w:t>:</w:t>
      </w:r>
    </w:p>
    <w:p w14:paraId="069697DF" w14:textId="77777777" w:rsidR="009C5CC0" w:rsidRPr="009C5CC0" w:rsidRDefault="009C5CC0" w:rsidP="009C5CC0">
      <w:pPr>
        <w:pStyle w:val="ListParagraph"/>
        <w:numPr>
          <w:ilvl w:val="1"/>
          <w:numId w:val="7"/>
        </w:numPr>
      </w:pPr>
      <w:r>
        <w:rPr>
          <w:rStyle w:val="Hyperlink"/>
          <w:color w:val="auto"/>
          <w:u w:val="none"/>
        </w:rPr>
        <w:t>Challenges with Interstate Negotiations</w:t>
      </w:r>
      <w:r w:rsidR="002900C5">
        <w:rPr>
          <w:rStyle w:val="Hyperlink"/>
          <w:color w:val="auto"/>
          <w:u w:val="none"/>
        </w:rPr>
        <w:t xml:space="preserve"> over Shared River Basins</w:t>
      </w:r>
    </w:p>
    <w:p w14:paraId="5A4D0194" w14:textId="77777777" w:rsidR="00983432" w:rsidRDefault="00724900" w:rsidP="00A73C85">
      <w:pPr>
        <w:rPr>
          <w:b/>
        </w:rPr>
      </w:pPr>
      <w:r w:rsidRPr="00CE2419">
        <w:rPr>
          <w:b/>
          <w:u w:val="single"/>
        </w:rPr>
        <w:t>Class #</w:t>
      </w:r>
      <w:r w:rsidR="00D225C0" w:rsidRPr="00CE2419">
        <w:rPr>
          <w:b/>
          <w:u w:val="single"/>
        </w:rPr>
        <w:t>12</w:t>
      </w:r>
      <w:r>
        <w:rPr>
          <w:b/>
        </w:rPr>
        <w:t xml:space="preserve"> – </w:t>
      </w:r>
      <w:r w:rsidR="0039679F">
        <w:rPr>
          <w:b/>
        </w:rPr>
        <w:t>(N</w:t>
      </w:r>
      <w:r w:rsidR="00B05F61">
        <w:rPr>
          <w:b/>
        </w:rPr>
        <w:t>ovember 9</w:t>
      </w:r>
      <w:r w:rsidR="0039679F">
        <w:rPr>
          <w:b/>
        </w:rPr>
        <w:t xml:space="preserve">) </w:t>
      </w:r>
      <w:r w:rsidR="00983432">
        <w:rPr>
          <w:b/>
        </w:rPr>
        <w:t>– Equitable Apportionment Generally</w:t>
      </w:r>
    </w:p>
    <w:p w14:paraId="5742741D" w14:textId="77777777" w:rsidR="004E1E1C" w:rsidRPr="004E1E1C" w:rsidRDefault="004E1E1C" w:rsidP="004E1E1C">
      <w:pPr>
        <w:pStyle w:val="ListParagraph"/>
        <w:numPr>
          <w:ilvl w:val="0"/>
          <w:numId w:val="12"/>
        </w:numPr>
      </w:pPr>
      <w:r>
        <w:rPr>
          <w:u w:val="single"/>
        </w:rPr>
        <w:t>Reading List:</w:t>
      </w:r>
      <w:r>
        <w:t xml:space="preserve"> </w:t>
      </w:r>
      <w:r w:rsidR="0068403C">
        <w:t xml:space="preserve">Equitable Apportionment </w:t>
      </w:r>
      <w:r>
        <w:t>Cases</w:t>
      </w:r>
      <w:r w:rsidR="000C0E09">
        <w:t xml:space="preserve"> (specific cases assigned via </w:t>
      </w:r>
      <w:proofErr w:type="spellStart"/>
      <w:r w:rsidR="000C0E09">
        <w:t>eLC</w:t>
      </w:r>
      <w:proofErr w:type="spellEnd"/>
      <w:r w:rsidR="000C0E09">
        <w:t xml:space="preserve"> Commons)</w:t>
      </w:r>
    </w:p>
    <w:p w14:paraId="2B6D6536" w14:textId="77777777" w:rsidR="004E1E1C" w:rsidRDefault="004E1E1C" w:rsidP="004E1E1C">
      <w:pPr>
        <w:pStyle w:val="ListParagraph"/>
        <w:numPr>
          <w:ilvl w:val="1"/>
          <w:numId w:val="12"/>
        </w:numPr>
      </w:pPr>
      <w:r w:rsidRPr="004E1E1C">
        <w:rPr>
          <w:i/>
        </w:rPr>
        <w:t>Wyoming v. Colorado</w:t>
      </w:r>
      <w:r>
        <w:rPr>
          <w:i/>
        </w:rPr>
        <w:t xml:space="preserve"> </w:t>
      </w:r>
      <w:r>
        <w:t>(1922)</w:t>
      </w:r>
    </w:p>
    <w:p w14:paraId="1ED098F1" w14:textId="77777777" w:rsidR="000A0010" w:rsidRDefault="005962CB" w:rsidP="000A0010">
      <w:pPr>
        <w:pStyle w:val="ListParagraph"/>
        <w:numPr>
          <w:ilvl w:val="2"/>
          <w:numId w:val="12"/>
        </w:numPr>
      </w:pPr>
      <w:hyperlink r:id="rId21" w:history="1">
        <w:r w:rsidR="000A0010" w:rsidRPr="008111CD">
          <w:rPr>
            <w:rStyle w:val="Hyperlink"/>
          </w:rPr>
          <w:t>https://supreme.justia.com/cases/federal/us/259/419/</w:t>
        </w:r>
      </w:hyperlink>
    </w:p>
    <w:p w14:paraId="4388249A" w14:textId="77777777" w:rsidR="004E1E1C" w:rsidRDefault="004E1E1C" w:rsidP="004E1E1C">
      <w:pPr>
        <w:pStyle w:val="ListParagraph"/>
        <w:numPr>
          <w:ilvl w:val="1"/>
          <w:numId w:val="12"/>
        </w:numPr>
      </w:pPr>
      <w:r>
        <w:rPr>
          <w:i/>
        </w:rPr>
        <w:t xml:space="preserve">New York v. New Jersey </w:t>
      </w:r>
      <w:r>
        <w:t xml:space="preserve">(1931) </w:t>
      </w:r>
    </w:p>
    <w:p w14:paraId="58F0F39F" w14:textId="77777777" w:rsidR="000A0010" w:rsidRDefault="005962CB" w:rsidP="000A0010">
      <w:pPr>
        <w:pStyle w:val="ListParagraph"/>
        <w:numPr>
          <w:ilvl w:val="2"/>
          <w:numId w:val="12"/>
        </w:numPr>
      </w:pPr>
      <w:hyperlink r:id="rId22" w:history="1">
        <w:r w:rsidR="000A0010" w:rsidRPr="008111CD">
          <w:rPr>
            <w:rStyle w:val="Hyperlink"/>
          </w:rPr>
          <w:t>https://supreme.justia.com/cases/federal/us/283/336/</w:t>
        </w:r>
      </w:hyperlink>
    </w:p>
    <w:p w14:paraId="2EBF0623" w14:textId="77777777" w:rsidR="004E1E1C" w:rsidRDefault="00291CA6" w:rsidP="004E1E1C">
      <w:pPr>
        <w:pStyle w:val="ListParagraph"/>
        <w:numPr>
          <w:ilvl w:val="1"/>
          <w:numId w:val="12"/>
        </w:numPr>
      </w:pPr>
      <w:r>
        <w:rPr>
          <w:i/>
        </w:rPr>
        <w:t>Connecticut v. Commonwealth of Massachusetts</w:t>
      </w:r>
      <w:r>
        <w:t xml:space="preserve"> (1931) </w:t>
      </w:r>
    </w:p>
    <w:p w14:paraId="715B2B5A" w14:textId="77777777" w:rsidR="000A0010" w:rsidRDefault="005962CB" w:rsidP="000A0010">
      <w:pPr>
        <w:pStyle w:val="ListParagraph"/>
        <w:numPr>
          <w:ilvl w:val="2"/>
          <w:numId w:val="12"/>
        </w:numPr>
      </w:pPr>
      <w:hyperlink r:id="rId23" w:history="1">
        <w:r w:rsidR="000A0010" w:rsidRPr="008111CD">
          <w:rPr>
            <w:rStyle w:val="Hyperlink"/>
          </w:rPr>
          <w:t>https://supreme.justia.com/cases/federal/us/282/660/</w:t>
        </w:r>
      </w:hyperlink>
    </w:p>
    <w:p w14:paraId="519B1634" w14:textId="77777777" w:rsidR="00975E9F" w:rsidRDefault="00291CA6" w:rsidP="004E1E1C">
      <w:pPr>
        <w:pStyle w:val="ListParagraph"/>
        <w:numPr>
          <w:ilvl w:val="1"/>
          <w:numId w:val="12"/>
        </w:numPr>
      </w:pPr>
      <w:r>
        <w:rPr>
          <w:i/>
        </w:rPr>
        <w:t xml:space="preserve">Nebraska v. Wyoming </w:t>
      </w:r>
      <w:r>
        <w:t>(1945)</w:t>
      </w:r>
    </w:p>
    <w:p w14:paraId="45AFA221" w14:textId="77777777" w:rsidR="00291CA6" w:rsidRDefault="005962CB" w:rsidP="00975E9F">
      <w:pPr>
        <w:pStyle w:val="ListParagraph"/>
        <w:numPr>
          <w:ilvl w:val="2"/>
          <w:numId w:val="12"/>
        </w:numPr>
      </w:pPr>
      <w:hyperlink r:id="rId24" w:history="1">
        <w:r w:rsidR="00975E9F" w:rsidRPr="008111CD">
          <w:rPr>
            <w:rStyle w:val="Hyperlink"/>
          </w:rPr>
          <w:t>https://supreme.justia.com/cases/federal/us/325/589/</w:t>
        </w:r>
      </w:hyperlink>
    </w:p>
    <w:p w14:paraId="7DEBB2A3" w14:textId="77777777" w:rsidR="00975E9F" w:rsidRDefault="00291CA6" w:rsidP="004E1E1C">
      <w:pPr>
        <w:pStyle w:val="ListParagraph"/>
        <w:numPr>
          <w:ilvl w:val="1"/>
          <w:numId w:val="12"/>
        </w:numPr>
      </w:pPr>
      <w:r>
        <w:rPr>
          <w:i/>
        </w:rPr>
        <w:t xml:space="preserve">Arizona v. California </w:t>
      </w:r>
      <w:r>
        <w:t>(1963)</w:t>
      </w:r>
    </w:p>
    <w:p w14:paraId="56311192" w14:textId="77777777" w:rsidR="00975E9F" w:rsidRDefault="005962CB" w:rsidP="00975E9F">
      <w:pPr>
        <w:pStyle w:val="ListParagraph"/>
        <w:numPr>
          <w:ilvl w:val="2"/>
          <w:numId w:val="12"/>
        </w:numPr>
      </w:pPr>
      <w:hyperlink r:id="rId25" w:history="1">
        <w:r w:rsidR="00975E9F" w:rsidRPr="008111CD">
          <w:rPr>
            <w:rStyle w:val="Hyperlink"/>
          </w:rPr>
          <w:t>https://supreme.justia.com/cases/federal/us/373/546/</w:t>
        </w:r>
      </w:hyperlink>
    </w:p>
    <w:p w14:paraId="337BFFB5" w14:textId="77777777" w:rsidR="00291CA6" w:rsidRDefault="00291CA6" w:rsidP="00975E9F">
      <w:pPr>
        <w:pStyle w:val="ListParagraph"/>
        <w:numPr>
          <w:ilvl w:val="1"/>
          <w:numId w:val="12"/>
        </w:numPr>
      </w:pPr>
      <w:r>
        <w:t xml:space="preserve"> </w:t>
      </w:r>
      <w:r w:rsidRPr="00975E9F">
        <w:rPr>
          <w:i/>
        </w:rPr>
        <w:t xml:space="preserve">Vermont v. New York </w:t>
      </w:r>
      <w:r>
        <w:t xml:space="preserve">(1974) </w:t>
      </w:r>
    </w:p>
    <w:p w14:paraId="370D8B49" w14:textId="77777777" w:rsidR="00975E9F" w:rsidRDefault="005962CB" w:rsidP="00975E9F">
      <w:pPr>
        <w:pStyle w:val="ListParagraph"/>
        <w:numPr>
          <w:ilvl w:val="2"/>
          <w:numId w:val="12"/>
        </w:numPr>
      </w:pPr>
      <w:hyperlink r:id="rId26" w:history="1">
        <w:r w:rsidR="00975E9F" w:rsidRPr="008111CD">
          <w:rPr>
            <w:rStyle w:val="Hyperlink"/>
          </w:rPr>
          <w:t>https://supreme.justia.com/cases/federal/us/417/270/</w:t>
        </w:r>
      </w:hyperlink>
    </w:p>
    <w:p w14:paraId="1DA542C4" w14:textId="77777777" w:rsidR="00291CA6" w:rsidRDefault="00291CA6" w:rsidP="004E1E1C">
      <w:pPr>
        <w:pStyle w:val="ListParagraph"/>
        <w:numPr>
          <w:ilvl w:val="1"/>
          <w:numId w:val="12"/>
        </w:numPr>
      </w:pPr>
      <w:r>
        <w:rPr>
          <w:i/>
        </w:rPr>
        <w:t xml:space="preserve">Idaho v. Oregon </w:t>
      </w:r>
      <w:r>
        <w:t>(1980)</w:t>
      </w:r>
    </w:p>
    <w:p w14:paraId="67FF2B79" w14:textId="77777777" w:rsidR="00975E9F" w:rsidRDefault="005962CB" w:rsidP="00975E9F">
      <w:pPr>
        <w:pStyle w:val="ListParagraph"/>
        <w:numPr>
          <w:ilvl w:val="2"/>
          <w:numId w:val="12"/>
        </w:numPr>
      </w:pPr>
      <w:hyperlink r:id="rId27" w:history="1">
        <w:r w:rsidR="00975E9F" w:rsidRPr="008111CD">
          <w:rPr>
            <w:rStyle w:val="Hyperlink"/>
          </w:rPr>
          <w:t>https://supreme.justia.com/cases/federal/us/444/380/</w:t>
        </w:r>
      </w:hyperlink>
    </w:p>
    <w:p w14:paraId="4333ABBB" w14:textId="77777777" w:rsidR="00291CA6" w:rsidRDefault="00291CA6" w:rsidP="004E1E1C">
      <w:pPr>
        <w:pStyle w:val="ListParagraph"/>
        <w:numPr>
          <w:ilvl w:val="1"/>
          <w:numId w:val="12"/>
        </w:numPr>
      </w:pPr>
      <w:r>
        <w:rPr>
          <w:i/>
        </w:rPr>
        <w:t xml:space="preserve">Colorado v. New Mexico </w:t>
      </w:r>
      <w:r>
        <w:t>(1982)</w:t>
      </w:r>
    </w:p>
    <w:p w14:paraId="304FF88E" w14:textId="77777777" w:rsidR="00E86237" w:rsidRDefault="005962CB" w:rsidP="00E86237">
      <w:pPr>
        <w:pStyle w:val="ListParagraph"/>
        <w:numPr>
          <w:ilvl w:val="2"/>
          <w:numId w:val="12"/>
        </w:numPr>
      </w:pPr>
      <w:hyperlink r:id="rId28" w:history="1">
        <w:r w:rsidR="00E86237" w:rsidRPr="008111CD">
          <w:rPr>
            <w:rStyle w:val="Hyperlink"/>
          </w:rPr>
          <w:t>https://supreme.justia.com/cases/federal/us/459/176/</w:t>
        </w:r>
      </w:hyperlink>
    </w:p>
    <w:p w14:paraId="06FF2E57" w14:textId="77777777" w:rsidR="00291CA6" w:rsidRDefault="00291CA6" w:rsidP="00291CA6">
      <w:pPr>
        <w:pStyle w:val="ListParagraph"/>
        <w:numPr>
          <w:ilvl w:val="1"/>
          <w:numId w:val="12"/>
        </w:numPr>
      </w:pPr>
      <w:r>
        <w:rPr>
          <w:i/>
        </w:rPr>
        <w:t xml:space="preserve">Idaho v. Oregon </w:t>
      </w:r>
      <w:r>
        <w:t>(1983)</w:t>
      </w:r>
    </w:p>
    <w:p w14:paraId="06A16F6A" w14:textId="77777777" w:rsidR="00E86237" w:rsidRDefault="005962CB" w:rsidP="00E86237">
      <w:pPr>
        <w:pStyle w:val="ListParagraph"/>
        <w:numPr>
          <w:ilvl w:val="2"/>
          <w:numId w:val="12"/>
        </w:numPr>
      </w:pPr>
      <w:hyperlink r:id="rId29" w:history="1">
        <w:r w:rsidR="00E86237" w:rsidRPr="008111CD">
          <w:rPr>
            <w:rStyle w:val="Hyperlink"/>
          </w:rPr>
          <w:t>https://caselaw.findlaw.com/court/us-supreme-court/462/1017.html</w:t>
        </w:r>
      </w:hyperlink>
    </w:p>
    <w:p w14:paraId="7A3BE4A2" w14:textId="77777777" w:rsidR="00291CA6" w:rsidRDefault="00291CA6" w:rsidP="00291CA6">
      <w:pPr>
        <w:pStyle w:val="ListParagraph"/>
        <w:numPr>
          <w:ilvl w:val="1"/>
          <w:numId w:val="12"/>
        </w:numPr>
      </w:pPr>
      <w:r>
        <w:rPr>
          <w:i/>
        </w:rPr>
        <w:t xml:space="preserve">Colorado v. New Mexico </w:t>
      </w:r>
      <w:r>
        <w:t>(1984)</w:t>
      </w:r>
    </w:p>
    <w:p w14:paraId="66BF24B8" w14:textId="77777777" w:rsidR="00E86237" w:rsidRDefault="005962CB" w:rsidP="00E86237">
      <w:pPr>
        <w:pStyle w:val="ListParagraph"/>
        <w:numPr>
          <w:ilvl w:val="2"/>
          <w:numId w:val="12"/>
        </w:numPr>
      </w:pPr>
      <w:hyperlink r:id="rId30" w:history="1">
        <w:r w:rsidR="00E86237" w:rsidRPr="008111CD">
          <w:rPr>
            <w:rStyle w:val="Hyperlink"/>
          </w:rPr>
          <w:t>https://supreme.justia.com/cases/federal/us/467/310/</w:t>
        </w:r>
      </w:hyperlink>
    </w:p>
    <w:p w14:paraId="4DF08913" w14:textId="77777777" w:rsidR="00291CA6" w:rsidRDefault="00291CA6" w:rsidP="00291CA6">
      <w:pPr>
        <w:pStyle w:val="ListParagraph"/>
        <w:numPr>
          <w:ilvl w:val="1"/>
          <w:numId w:val="12"/>
        </w:numPr>
      </w:pPr>
      <w:r>
        <w:rPr>
          <w:i/>
        </w:rPr>
        <w:t xml:space="preserve">Nebraska v. Wyoming </w:t>
      </w:r>
      <w:r>
        <w:t>(1986)</w:t>
      </w:r>
    </w:p>
    <w:p w14:paraId="1FC77CC4" w14:textId="77777777" w:rsidR="00975E9F" w:rsidRDefault="005962CB" w:rsidP="00975E9F">
      <w:pPr>
        <w:pStyle w:val="ListParagraph"/>
        <w:numPr>
          <w:ilvl w:val="2"/>
          <w:numId w:val="12"/>
        </w:numPr>
      </w:pPr>
      <w:hyperlink r:id="rId31" w:history="1">
        <w:r w:rsidR="00975E9F" w:rsidRPr="008111CD">
          <w:rPr>
            <w:rStyle w:val="Hyperlink"/>
          </w:rPr>
          <w:t>https://supreme.justia.com/cases/federal/us/515/1/case.pdf</w:t>
        </w:r>
      </w:hyperlink>
    </w:p>
    <w:p w14:paraId="430A1D08" w14:textId="77777777" w:rsidR="00291CA6" w:rsidRDefault="00291CA6" w:rsidP="00291CA6">
      <w:pPr>
        <w:pStyle w:val="ListParagraph"/>
        <w:numPr>
          <w:ilvl w:val="1"/>
          <w:numId w:val="12"/>
        </w:numPr>
      </w:pPr>
      <w:r>
        <w:rPr>
          <w:i/>
        </w:rPr>
        <w:t xml:space="preserve">Arizona v. California </w:t>
      </w:r>
      <w:r>
        <w:t>(2000)</w:t>
      </w:r>
    </w:p>
    <w:p w14:paraId="76088DBA" w14:textId="77777777" w:rsidR="00975E9F" w:rsidRDefault="005962CB" w:rsidP="00975E9F">
      <w:pPr>
        <w:pStyle w:val="ListParagraph"/>
        <w:numPr>
          <w:ilvl w:val="2"/>
          <w:numId w:val="12"/>
        </w:numPr>
      </w:pPr>
      <w:hyperlink r:id="rId32" w:history="1">
        <w:r w:rsidR="00975E9F" w:rsidRPr="008111CD">
          <w:rPr>
            <w:rStyle w:val="Hyperlink"/>
          </w:rPr>
          <w:t>https://supreme.justia.com/cases/federal/us/530/392/case.pdf</w:t>
        </w:r>
      </w:hyperlink>
    </w:p>
    <w:p w14:paraId="4131FFE6" w14:textId="77777777" w:rsidR="004A4629" w:rsidRDefault="004A4629" w:rsidP="004A4629">
      <w:pPr>
        <w:pStyle w:val="ListParagraph"/>
        <w:numPr>
          <w:ilvl w:val="1"/>
          <w:numId w:val="12"/>
        </w:numPr>
      </w:pPr>
      <w:r>
        <w:rPr>
          <w:i/>
        </w:rPr>
        <w:t xml:space="preserve">Kansas v. Nebraska </w:t>
      </w:r>
      <w:r>
        <w:t>(2015)</w:t>
      </w:r>
    </w:p>
    <w:p w14:paraId="3632E09D" w14:textId="77777777" w:rsidR="004A4629" w:rsidRDefault="005962CB" w:rsidP="004A4629">
      <w:pPr>
        <w:pStyle w:val="ListParagraph"/>
        <w:numPr>
          <w:ilvl w:val="2"/>
          <w:numId w:val="12"/>
        </w:numPr>
      </w:pPr>
      <w:hyperlink r:id="rId33" w:history="1">
        <w:r w:rsidR="004A4629" w:rsidRPr="008111CD">
          <w:rPr>
            <w:rStyle w:val="Hyperlink"/>
          </w:rPr>
          <w:t>https://supreme.justia.com/cases/federal/us/574/126orig/case.pdf</w:t>
        </w:r>
      </w:hyperlink>
    </w:p>
    <w:p w14:paraId="58DFBA81" w14:textId="77777777" w:rsidR="004A4629" w:rsidRPr="004A4629" w:rsidRDefault="004A4629" w:rsidP="004A4629">
      <w:pPr>
        <w:ind w:left="1080"/>
        <w:rPr>
          <w:u w:val="single"/>
        </w:rPr>
      </w:pPr>
      <w:r>
        <w:rPr>
          <w:u w:val="single"/>
        </w:rPr>
        <w:t>See also:</w:t>
      </w:r>
    </w:p>
    <w:p w14:paraId="1A02CE0B" w14:textId="77777777" w:rsidR="004A4629" w:rsidRDefault="004A4629" w:rsidP="004A4629">
      <w:pPr>
        <w:pStyle w:val="ListParagraph"/>
        <w:numPr>
          <w:ilvl w:val="1"/>
          <w:numId w:val="12"/>
        </w:numPr>
      </w:pPr>
      <w:r>
        <w:rPr>
          <w:i/>
        </w:rPr>
        <w:t>South Carolina v. North Carolina</w:t>
      </w:r>
      <w:r>
        <w:t xml:space="preserve"> (2010)</w:t>
      </w:r>
    </w:p>
    <w:p w14:paraId="78A7340A" w14:textId="77777777" w:rsidR="004A4629" w:rsidRDefault="005962CB" w:rsidP="004A4629">
      <w:pPr>
        <w:pStyle w:val="ListParagraph"/>
        <w:numPr>
          <w:ilvl w:val="2"/>
          <w:numId w:val="12"/>
        </w:numPr>
      </w:pPr>
      <w:hyperlink r:id="rId34" w:history="1">
        <w:r w:rsidR="004A4629" w:rsidRPr="008111CD">
          <w:rPr>
            <w:rStyle w:val="Hyperlink"/>
          </w:rPr>
          <w:t>https://www.supremecourt.gov/specmastrpt/orig138_112808.pdf</w:t>
        </w:r>
      </w:hyperlink>
    </w:p>
    <w:p w14:paraId="41845EBD" w14:textId="77777777" w:rsidR="00E86237" w:rsidRDefault="00291CA6" w:rsidP="000A0010">
      <w:pPr>
        <w:pStyle w:val="ListParagraph"/>
        <w:numPr>
          <w:ilvl w:val="1"/>
          <w:numId w:val="7"/>
        </w:numPr>
      </w:pPr>
      <w:r w:rsidRPr="004A4629">
        <w:rPr>
          <w:i/>
        </w:rPr>
        <w:t xml:space="preserve">Mississippi v. City of Memphis </w:t>
      </w:r>
      <w:r>
        <w:t>(2021)</w:t>
      </w:r>
    </w:p>
    <w:p w14:paraId="0E336349" w14:textId="77777777" w:rsidR="00E86237" w:rsidRDefault="005962CB" w:rsidP="00E86237">
      <w:pPr>
        <w:pStyle w:val="ListParagraph"/>
        <w:numPr>
          <w:ilvl w:val="2"/>
          <w:numId w:val="7"/>
        </w:numPr>
      </w:pPr>
      <w:hyperlink r:id="rId35" w:history="1">
        <w:r w:rsidR="00E86237" w:rsidRPr="008111CD">
          <w:rPr>
            <w:rStyle w:val="Hyperlink"/>
          </w:rPr>
          <w:t>https://www.supremecourt.gov/opinions/21pdf/143orig_1qm1.pdf</w:t>
        </w:r>
      </w:hyperlink>
    </w:p>
    <w:p w14:paraId="6474AD33" w14:textId="77777777" w:rsidR="000A0010" w:rsidRDefault="00291CA6" w:rsidP="00E86237">
      <w:pPr>
        <w:pStyle w:val="ListParagraph"/>
        <w:ind w:left="2160"/>
      </w:pPr>
      <w:r>
        <w:lastRenderedPageBreak/>
        <w:t xml:space="preserve"> </w:t>
      </w:r>
    </w:p>
    <w:p w14:paraId="6B257AE1" w14:textId="77777777" w:rsidR="000A0010" w:rsidRDefault="000A0010" w:rsidP="000A0010">
      <w:pPr>
        <w:pStyle w:val="ListParagraph"/>
        <w:numPr>
          <w:ilvl w:val="0"/>
          <w:numId w:val="7"/>
        </w:numPr>
      </w:pPr>
      <w:r>
        <w:rPr>
          <w:u w:val="single"/>
        </w:rPr>
        <w:t>Key Concepts</w:t>
      </w:r>
      <w:r>
        <w:t>:</w:t>
      </w:r>
    </w:p>
    <w:p w14:paraId="17E80586" w14:textId="77777777" w:rsidR="000A0010" w:rsidRDefault="000A0010" w:rsidP="000A0010">
      <w:pPr>
        <w:pStyle w:val="ListParagraph"/>
        <w:numPr>
          <w:ilvl w:val="1"/>
          <w:numId w:val="7"/>
        </w:numPr>
      </w:pPr>
      <w:r>
        <w:t>Development of Equitable Apportionment Doctrine</w:t>
      </w:r>
    </w:p>
    <w:p w14:paraId="3B289BDA" w14:textId="77777777" w:rsidR="000A0010" w:rsidRPr="00291CA6" w:rsidRDefault="000A0010" w:rsidP="000A0010">
      <w:pPr>
        <w:pStyle w:val="ListParagraph"/>
        <w:numPr>
          <w:ilvl w:val="1"/>
          <w:numId w:val="7"/>
        </w:numPr>
      </w:pPr>
      <w:r>
        <w:t xml:space="preserve">Key Elements of Equitable Apportionment Claim </w:t>
      </w:r>
    </w:p>
    <w:p w14:paraId="1FEFE08D" w14:textId="77777777" w:rsidR="00983432" w:rsidRDefault="00B05F61" w:rsidP="00983432">
      <w:pPr>
        <w:rPr>
          <w:b/>
        </w:rPr>
      </w:pPr>
      <w:r w:rsidRPr="00CE2419">
        <w:rPr>
          <w:b/>
          <w:u w:val="single"/>
        </w:rPr>
        <w:t>Class #13</w:t>
      </w:r>
      <w:r>
        <w:rPr>
          <w:b/>
        </w:rPr>
        <w:t xml:space="preserve"> – (November 16)</w:t>
      </w:r>
      <w:r w:rsidR="00983432">
        <w:rPr>
          <w:b/>
        </w:rPr>
        <w:t xml:space="preserve"> - </w:t>
      </w:r>
      <w:r w:rsidR="00983432">
        <w:rPr>
          <w:b/>
          <w:i/>
        </w:rPr>
        <w:t>Florida v. Georgia,</w:t>
      </w:r>
      <w:r w:rsidR="00983432">
        <w:rPr>
          <w:i/>
        </w:rPr>
        <w:t xml:space="preserve"> </w:t>
      </w:r>
      <w:r w:rsidR="00983432" w:rsidRPr="00724900">
        <w:rPr>
          <w:b/>
        </w:rPr>
        <w:t>Original Action No. 142</w:t>
      </w:r>
    </w:p>
    <w:p w14:paraId="50863958" w14:textId="77777777" w:rsidR="009E7477" w:rsidRPr="006D7F43" w:rsidRDefault="009E7477" w:rsidP="009E7477">
      <w:pPr>
        <w:pStyle w:val="ListParagraph"/>
        <w:numPr>
          <w:ilvl w:val="0"/>
          <w:numId w:val="15"/>
        </w:numPr>
        <w:rPr>
          <w:b/>
        </w:rPr>
      </w:pPr>
      <w:r>
        <w:rPr>
          <w:u w:val="single"/>
        </w:rPr>
        <w:t>Reading List</w:t>
      </w:r>
      <w:r>
        <w:t>:</w:t>
      </w:r>
    </w:p>
    <w:p w14:paraId="4852C0AE" w14:textId="77777777" w:rsidR="006D7F43" w:rsidRPr="006D7F43" w:rsidRDefault="006D7F43" w:rsidP="006D7F43">
      <w:pPr>
        <w:pStyle w:val="ListParagraph"/>
        <w:numPr>
          <w:ilvl w:val="1"/>
          <w:numId w:val="15"/>
        </w:numPr>
        <w:rPr>
          <w:b/>
        </w:rPr>
      </w:pPr>
      <w:r>
        <w:t xml:space="preserve">Georgia’s Motion to Dismiss for Failure to Join </w:t>
      </w:r>
      <w:proofErr w:type="gramStart"/>
      <w:r>
        <w:t>A</w:t>
      </w:r>
      <w:proofErr w:type="gramEnd"/>
      <w:r>
        <w:t xml:space="preserve"> Required Party</w:t>
      </w:r>
    </w:p>
    <w:p w14:paraId="29B6B9A4" w14:textId="77777777" w:rsidR="006D7F43" w:rsidRDefault="005962CB" w:rsidP="006D7F43">
      <w:pPr>
        <w:pStyle w:val="ListParagraph"/>
        <w:numPr>
          <w:ilvl w:val="2"/>
          <w:numId w:val="15"/>
        </w:numPr>
      </w:pPr>
      <w:hyperlink r:id="rId36" w:history="1">
        <w:r w:rsidR="006D7F43" w:rsidRPr="00AE5F31">
          <w:rPr>
            <w:rStyle w:val="Hyperlink"/>
          </w:rPr>
          <w:t>https://www.ca10.uscourts.gov/sites/ca10/files/SM142/48.pdf</w:t>
        </w:r>
      </w:hyperlink>
    </w:p>
    <w:p w14:paraId="61FC87AA" w14:textId="77777777" w:rsidR="00AC3F0B" w:rsidRDefault="00AC3F0B" w:rsidP="00AC3F0B">
      <w:pPr>
        <w:pStyle w:val="ListParagraph"/>
        <w:numPr>
          <w:ilvl w:val="1"/>
          <w:numId w:val="15"/>
        </w:numPr>
        <w:rPr>
          <w:b/>
        </w:rPr>
      </w:pPr>
      <w:r>
        <w:t>Special Master Lancaster’s Report - 2018</w:t>
      </w:r>
    </w:p>
    <w:p w14:paraId="2FED82B7" w14:textId="77777777" w:rsidR="009E7477" w:rsidRDefault="005962CB" w:rsidP="00AC3F0B">
      <w:pPr>
        <w:pStyle w:val="ListParagraph"/>
        <w:numPr>
          <w:ilvl w:val="2"/>
          <w:numId w:val="15"/>
        </w:numPr>
      </w:pPr>
      <w:hyperlink r:id="rId37" w:history="1">
        <w:r w:rsidR="00AC3F0B" w:rsidRPr="00AC3F0B">
          <w:rPr>
            <w:rStyle w:val="Hyperlink"/>
          </w:rPr>
          <w:t>https://www.scotusblog.com/wp-content/uploads/2017/09/2017.02.14-Report-of-Special-Master.pdf</w:t>
        </w:r>
      </w:hyperlink>
    </w:p>
    <w:p w14:paraId="45BC66EB" w14:textId="77777777" w:rsidR="00AC3F0B" w:rsidRDefault="00AC3F0B" w:rsidP="00AC3F0B">
      <w:pPr>
        <w:pStyle w:val="ListParagraph"/>
        <w:numPr>
          <w:ilvl w:val="1"/>
          <w:numId w:val="15"/>
        </w:numPr>
      </w:pPr>
      <w:r>
        <w:t>US Supreme Court’s 2017 Opinion</w:t>
      </w:r>
    </w:p>
    <w:p w14:paraId="67C5274D" w14:textId="77777777" w:rsidR="00AC3F0B" w:rsidRDefault="005962CB" w:rsidP="00AC3F0B">
      <w:pPr>
        <w:pStyle w:val="ListParagraph"/>
        <w:numPr>
          <w:ilvl w:val="2"/>
          <w:numId w:val="15"/>
        </w:numPr>
      </w:pPr>
      <w:hyperlink r:id="rId38" w:history="1">
        <w:r w:rsidR="00AC3F0B" w:rsidRPr="00AE5F31">
          <w:rPr>
            <w:rStyle w:val="Hyperlink"/>
          </w:rPr>
          <w:t>https://www.ca10.uscourts.gov/sites/ca10/files/SM142/Docket_637_FL_v._GA_%28_-_US_Supreme_Court_Opinion%2C_06-27-2018.pdf</w:t>
        </w:r>
      </w:hyperlink>
    </w:p>
    <w:p w14:paraId="11819E53" w14:textId="77777777" w:rsidR="009E7477" w:rsidRPr="009E7477" w:rsidRDefault="009E7477" w:rsidP="009E7477">
      <w:pPr>
        <w:pStyle w:val="ListParagraph"/>
        <w:ind w:left="1440"/>
        <w:rPr>
          <w:b/>
        </w:rPr>
      </w:pPr>
    </w:p>
    <w:p w14:paraId="34A39877" w14:textId="77777777" w:rsidR="001F2BBF" w:rsidRDefault="0039679F" w:rsidP="0039679F">
      <w:pPr>
        <w:rPr>
          <w:b/>
        </w:rPr>
      </w:pPr>
      <w:r>
        <w:rPr>
          <w:b/>
        </w:rPr>
        <w:t xml:space="preserve">OFF – (November 23) – THANKSGIVING DAY </w:t>
      </w:r>
    </w:p>
    <w:p w14:paraId="031CDD8F" w14:textId="77777777" w:rsidR="008C7A00" w:rsidRDefault="008C7A00" w:rsidP="0039679F">
      <w:pPr>
        <w:rPr>
          <w:b/>
        </w:rPr>
      </w:pPr>
    </w:p>
    <w:p w14:paraId="056C5FA4" w14:textId="77777777" w:rsidR="0039679F" w:rsidRDefault="0039679F" w:rsidP="0039679F">
      <w:pPr>
        <w:rPr>
          <w:b/>
        </w:rPr>
      </w:pPr>
      <w:r w:rsidRPr="00CE2419">
        <w:rPr>
          <w:b/>
          <w:u w:val="single"/>
        </w:rPr>
        <w:t>Class #</w:t>
      </w:r>
      <w:r w:rsidR="00B05F61" w:rsidRPr="00CE2419">
        <w:rPr>
          <w:b/>
          <w:u w:val="single"/>
        </w:rPr>
        <w:t>14</w:t>
      </w:r>
      <w:r>
        <w:rPr>
          <w:b/>
        </w:rPr>
        <w:t xml:space="preserve"> – (November 30) </w:t>
      </w:r>
      <w:r w:rsidR="00F4788C">
        <w:rPr>
          <w:b/>
        </w:rPr>
        <w:t>– Final Class Mtg.</w:t>
      </w:r>
      <w:r w:rsidR="00BE2B3C">
        <w:rPr>
          <w:b/>
        </w:rPr>
        <w:t xml:space="preserve"> </w:t>
      </w:r>
      <w:r w:rsidR="00A87895">
        <w:rPr>
          <w:b/>
        </w:rPr>
        <w:t xml:space="preserve">- </w:t>
      </w:r>
      <w:r w:rsidR="00BE2B3C">
        <w:rPr>
          <w:b/>
          <w:i/>
        </w:rPr>
        <w:t xml:space="preserve">Florida v. Georgia, </w:t>
      </w:r>
      <w:r w:rsidR="00BE2B3C">
        <w:rPr>
          <w:b/>
        </w:rPr>
        <w:t>Orig. No. 142 (cont.)</w:t>
      </w:r>
    </w:p>
    <w:p w14:paraId="299DBBE5" w14:textId="77777777" w:rsidR="00AC3F0B" w:rsidRPr="00AC3F0B" w:rsidRDefault="00AC3F0B" w:rsidP="00AC3F0B">
      <w:pPr>
        <w:pStyle w:val="ListParagraph"/>
        <w:numPr>
          <w:ilvl w:val="0"/>
          <w:numId w:val="15"/>
        </w:numPr>
        <w:rPr>
          <w:b/>
        </w:rPr>
      </w:pPr>
      <w:r>
        <w:rPr>
          <w:u w:val="single"/>
        </w:rPr>
        <w:t>Reading List:</w:t>
      </w:r>
    </w:p>
    <w:p w14:paraId="233E1C32" w14:textId="77777777" w:rsidR="00AC3F0B" w:rsidRDefault="00AC3F0B" w:rsidP="00AC3F0B">
      <w:pPr>
        <w:pStyle w:val="ListParagraph"/>
        <w:numPr>
          <w:ilvl w:val="1"/>
          <w:numId w:val="15"/>
        </w:numPr>
        <w:rPr>
          <w:b/>
        </w:rPr>
      </w:pPr>
      <w:r>
        <w:t>Special Master Kelly’s Report - 2019</w:t>
      </w:r>
    </w:p>
    <w:p w14:paraId="20CC76DB" w14:textId="77777777" w:rsidR="00AC3F0B" w:rsidRPr="00AC3F0B" w:rsidRDefault="005962CB" w:rsidP="00AC3F0B">
      <w:pPr>
        <w:pStyle w:val="ListParagraph"/>
        <w:numPr>
          <w:ilvl w:val="2"/>
          <w:numId w:val="15"/>
        </w:numPr>
      </w:pPr>
      <w:hyperlink r:id="rId39" w:history="1">
        <w:r w:rsidR="00AC3F0B" w:rsidRPr="00AC3F0B">
          <w:rPr>
            <w:rStyle w:val="Hyperlink"/>
          </w:rPr>
          <w:t>https://www.supremecourt.gov/DocketPDF/22/22O142/125423/20191213102743287_142%20Original%20SM%20Report.pdf</w:t>
        </w:r>
      </w:hyperlink>
    </w:p>
    <w:p w14:paraId="5EF872BB" w14:textId="77777777" w:rsidR="00AC3F0B" w:rsidRPr="008C7A00" w:rsidRDefault="00AC3F0B" w:rsidP="00AC3F0B">
      <w:pPr>
        <w:pStyle w:val="ListParagraph"/>
        <w:numPr>
          <w:ilvl w:val="1"/>
          <w:numId w:val="15"/>
        </w:numPr>
        <w:rPr>
          <w:b/>
        </w:rPr>
      </w:pPr>
      <w:r>
        <w:t>US Supreme Court’s 2021 Opinion</w:t>
      </w:r>
    </w:p>
    <w:p w14:paraId="7C5656D8" w14:textId="77777777" w:rsidR="008C7A00" w:rsidRPr="00551C9F" w:rsidRDefault="005962CB" w:rsidP="008C7A00">
      <w:pPr>
        <w:pStyle w:val="ListParagraph"/>
        <w:numPr>
          <w:ilvl w:val="2"/>
          <w:numId w:val="15"/>
        </w:numPr>
        <w:rPr>
          <w:rStyle w:val="Hyperlink"/>
          <w:color w:val="auto"/>
          <w:u w:val="none"/>
        </w:rPr>
      </w:pPr>
      <w:hyperlink r:id="rId40" w:history="1">
        <w:r w:rsidR="008C7A00" w:rsidRPr="00AE5F31">
          <w:rPr>
            <w:rStyle w:val="Hyperlink"/>
          </w:rPr>
          <w:t>https://www.supremecourt.gov/opinions/20pdf/22o142_m648.pdf</w:t>
        </w:r>
      </w:hyperlink>
    </w:p>
    <w:p w14:paraId="174E9C00" w14:textId="77777777" w:rsidR="00551C9F" w:rsidRDefault="00551C9F" w:rsidP="00551C9F">
      <w:pPr>
        <w:rPr>
          <w:rStyle w:val="Hyperlink"/>
          <w:b/>
          <w:color w:val="auto"/>
        </w:rPr>
      </w:pPr>
      <w:r>
        <w:rPr>
          <w:rStyle w:val="Hyperlink"/>
          <w:b/>
          <w:color w:val="auto"/>
        </w:rPr>
        <w:t>Assessments and Grading</w:t>
      </w:r>
    </w:p>
    <w:p w14:paraId="3DC36578" w14:textId="77777777" w:rsidR="00551C9F" w:rsidRDefault="00551C9F" w:rsidP="00551C9F">
      <w:pPr>
        <w:rPr>
          <w:rStyle w:val="Hyperlink"/>
          <w:color w:val="auto"/>
          <w:u w:val="none"/>
        </w:rPr>
      </w:pPr>
      <w:r>
        <w:rPr>
          <w:rStyle w:val="Hyperlink"/>
          <w:color w:val="auto"/>
          <w:u w:val="none"/>
        </w:rPr>
        <w:t>Your grade will be composed of your class participation and scores from a Midterm and Final Exam. Since this class meets only once a week, it is important not to miss class</w:t>
      </w:r>
      <w:r w:rsidR="00B771EC">
        <w:rPr>
          <w:rStyle w:val="Hyperlink"/>
          <w:color w:val="auto"/>
          <w:u w:val="none"/>
        </w:rPr>
        <w:t>,</w:t>
      </w:r>
      <w:r>
        <w:rPr>
          <w:rStyle w:val="Hyperlink"/>
          <w:color w:val="auto"/>
          <w:u w:val="none"/>
        </w:rPr>
        <w:t xml:space="preserve"> </w:t>
      </w:r>
      <w:proofErr w:type="gramStart"/>
      <w:r>
        <w:rPr>
          <w:rStyle w:val="Hyperlink"/>
          <w:color w:val="auto"/>
          <w:u w:val="none"/>
        </w:rPr>
        <w:t>if at all possible</w:t>
      </w:r>
      <w:proofErr w:type="gramEnd"/>
      <w:r>
        <w:rPr>
          <w:rStyle w:val="Hyperlink"/>
          <w:color w:val="auto"/>
          <w:u w:val="none"/>
        </w:rPr>
        <w:t xml:space="preserve">.  Participation will be broken into an attendance component and a class discussion/participation component.  Given the length of our weekly meetings, we will take a </w:t>
      </w:r>
      <w:proofErr w:type="gramStart"/>
      <w:r>
        <w:rPr>
          <w:rStyle w:val="Hyperlink"/>
          <w:color w:val="auto"/>
          <w:u w:val="none"/>
        </w:rPr>
        <w:t>15 minute</w:t>
      </w:r>
      <w:proofErr w:type="gramEnd"/>
      <w:r>
        <w:rPr>
          <w:rStyle w:val="Hyperlink"/>
          <w:color w:val="auto"/>
          <w:u w:val="none"/>
        </w:rPr>
        <w:t xml:space="preserve"> break at the mid-point of the class.  </w:t>
      </w:r>
    </w:p>
    <w:p w14:paraId="0C1892A6" w14:textId="77777777" w:rsidR="00B771EC" w:rsidRPr="00B771EC" w:rsidRDefault="00551C9F" w:rsidP="00B771EC">
      <w:pPr>
        <w:pStyle w:val="ListParagraph"/>
        <w:numPr>
          <w:ilvl w:val="0"/>
          <w:numId w:val="7"/>
        </w:numPr>
        <w:rPr>
          <w:rStyle w:val="Hyperlink"/>
          <w:color w:val="auto"/>
          <w:u w:val="none"/>
        </w:rPr>
      </w:pPr>
      <w:r w:rsidRPr="00CE2419">
        <w:rPr>
          <w:rStyle w:val="Hyperlink"/>
          <w:b/>
          <w:color w:val="auto"/>
        </w:rPr>
        <w:t>Final Grade</w:t>
      </w:r>
      <w:r w:rsidR="00AF628F">
        <w:rPr>
          <w:rStyle w:val="Hyperlink"/>
          <w:color w:val="auto"/>
          <w:u w:val="none"/>
        </w:rPr>
        <w:t xml:space="preserve">:  </w:t>
      </w:r>
      <w:r w:rsidRPr="00B771EC">
        <w:rPr>
          <w:rStyle w:val="Hyperlink"/>
          <w:color w:val="auto"/>
          <w:u w:val="none"/>
        </w:rPr>
        <w:t>composed of the following:</w:t>
      </w:r>
      <w:r w:rsidR="00B771EC" w:rsidRPr="00B771EC">
        <w:rPr>
          <w:rStyle w:val="Hyperlink"/>
          <w:color w:val="auto"/>
          <w:u w:val="none"/>
        </w:rPr>
        <w:t xml:space="preserve"> </w:t>
      </w:r>
    </w:p>
    <w:p w14:paraId="25BEACEB" w14:textId="77777777" w:rsidR="00B771EC" w:rsidRDefault="00551C9F" w:rsidP="00B771EC">
      <w:pPr>
        <w:ind w:left="720" w:firstLine="720"/>
        <w:rPr>
          <w:rStyle w:val="Hyperlink"/>
          <w:color w:val="auto"/>
          <w:u w:val="none"/>
        </w:rPr>
      </w:pPr>
      <w:r w:rsidRPr="000A0010">
        <w:rPr>
          <w:rStyle w:val="Hyperlink"/>
          <w:b/>
          <w:color w:val="auto"/>
          <w:u w:val="none"/>
        </w:rPr>
        <w:t>Midterm Exam</w:t>
      </w:r>
      <w:r>
        <w:rPr>
          <w:rStyle w:val="Hyperlink"/>
          <w:color w:val="auto"/>
          <w:u w:val="none"/>
        </w:rPr>
        <w:t xml:space="preserve"> – In Class (October 8) – </w:t>
      </w:r>
      <w:r w:rsidRPr="000A0010">
        <w:rPr>
          <w:rStyle w:val="Hyperlink"/>
          <w:b/>
          <w:color w:val="auto"/>
          <w:u w:val="none"/>
        </w:rPr>
        <w:t>30%</w:t>
      </w:r>
    </w:p>
    <w:p w14:paraId="1EFC7935" w14:textId="77777777" w:rsidR="00551C9F" w:rsidRDefault="00551C9F" w:rsidP="00B771EC">
      <w:pPr>
        <w:ind w:left="720" w:firstLine="720"/>
        <w:rPr>
          <w:rStyle w:val="Hyperlink"/>
          <w:color w:val="auto"/>
          <w:u w:val="none"/>
        </w:rPr>
      </w:pPr>
      <w:r w:rsidRPr="000A0010">
        <w:rPr>
          <w:rStyle w:val="Hyperlink"/>
          <w:b/>
          <w:color w:val="auto"/>
          <w:u w:val="none"/>
        </w:rPr>
        <w:t>Final Exam</w:t>
      </w:r>
      <w:r>
        <w:rPr>
          <w:rStyle w:val="Hyperlink"/>
          <w:color w:val="auto"/>
          <w:u w:val="none"/>
        </w:rPr>
        <w:t xml:space="preserve"> – In Class (December XX) – </w:t>
      </w:r>
      <w:r w:rsidRPr="000A0010">
        <w:rPr>
          <w:rStyle w:val="Hyperlink"/>
          <w:b/>
          <w:color w:val="auto"/>
          <w:u w:val="none"/>
        </w:rPr>
        <w:t>40%</w:t>
      </w:r>
      <w:r>
        <w:rPr>
          <w:rStyle w:val="Hyperlink"/>
          <w:color w:val="auto"/>
          <w:u w:val="none"/>
        </w:rPr>
        <w:t xml:space="preserve"> - </w:t>
      </w:r>
      <w:proofErr w:type="gramStart"/>
      <w:r>
        <w:rPr>
          <w:rStyle w:val="Hyperlink"/>
          <w:color w:val="auto"/>
          <w:u w:val="none"/>
        </w:rPr>
        <w:t>Non-Cumulative</w:t>
      </w:r>
      <w:proofErr w:type="gramEnd"/>
      <w:r>
        <w:rPr>
          <w:rStyle w:val="Hyperlink"/>
          <w:color w:val="auto"/>
          <w:u w:val="none"/>
        </w:rPr>
        <w:t xml:space="preserve"> </w:t>
      </w:r>
    </w:p>
    <w:p w14:paraId="56C2A4D1" w14:textId="77777777" w:rsidR="00AF628F" w:rsidRDefault="00551C9F" w:rsidP="00AF628F">
      <w:pPr>
        <w:ind w:left="720" w:firstLine="720"/>
        <w:contextualSpacing/>
        <w:rPr>
          <w:rStyle w:val="Hyperlink"/>
          <w:color w:val="auto"/>
          <w:u w:val="none"/>
        </w:rPr>
      </w:pPr>
      <w:r w:rsidRPr="000A0010">
        <w:rPr>
          <w:rStyle w:val="Hyperlink"/>
          <w:b/>
          <w:color w:val="auto"/>
          <w:u w:val="none"/>
        </w:rPr>
        <w:t>Participation</w:t>
      </w:r>
      <w:r>
        <w:rPr>
          <w:rStyle w:val="Hyperlink"/>
          <w:color w:val="auto"/>
          <w:u w:val="none"/>
        </w:rPr>
        <w:t xml:space="preserve"> – </w:t>
      </w:r>
      <w:r w:rsidRPr="000A0010">
        <w:rPr>
          <w:rStyle w:val="Hyperlink"/>
          <w:b/>
          <w:color w:val="auto"/>
          <w:u w:val="none"/>
        </w:rPr>
        <w:t>30%</w:t>
      </w:r>
      <w:r w:rsidR="00AF628F">
        <w:rPr>
          <w:rStyle w:val="Hyperlink"/>
          <w:color w:val="auto"/>
          <w:u w:val="none"/>
        </w:rPr>
        <w:t xml:space="preserve"> - (attendance 15%, class discussion 15</w:t>
      </w:r>
      <w:r>
        <w:rPr>
          <w:rStyle w:val="Hyperlink"/>
          <w:color w:val="auto"/>
          <w:u w:val="none"/>
        </w:rPr>
        <w:t>%)</w:t>
      </w:r>
    </w:p>
    <w:p w14:paraId="0439D978" w14:textId="77777777" w:rsidR="0091776F" w:rsidRDefault="0091776F" w:rsidP="0091776F">
      <w:pPr>
        <w:contextualSpacing/>
        <w:rPr>
          <w:rStyle w:val="Hyperlink"/>
          <w:color w:val="auto"/>
          <w:u w:val="none"/>
        </w:rPr>
      </w:pPr>
      <w:r>
        <w:rPr>
          <w:rStyle w:val="Hyperlink"/>
          <w:color w:val="auto"/>
          <w:u w:val="none"/>
        </w:rPr>
        <w:tab/>
      </w:r>
    </w:p>
    <w:p w14:paraId="3A588784" w14:textId="77777777" w:rsidR="0091776F" w:rsidRDefault="0091776F" w:rsidP="0091776F">
      <w:pPr>
        <w:contextualSpacing/>
        <w:rPr>
          <w:rStyle w:val="Hyperlink"/>
          <w:color w:val="auto"/>
          <w:u w:val="none"/>
        </w:rPr>
      </w:pPr>
    </w:p>
    <w:p w14:paraId="7153B242" w14:textId="77777777" w:rsidR="0091776F" w:rsidRDefault="0091776F" w:rsidP="0091776F">
      <w:pPr>
        <w:ind w:firstLine="720"/>
        <w:contextualSpacing/>
        <w:rPr>
          <w:rStyle w:val="Hyperlink"/>
          <w:color w:val="auto"/>
          <w:u w:val="none"/>
        </w:rPr>
      </w:pPr>
      <w:r w:rsidRPr="0091776F">
        <w:rPr>
          <w:rStyle w:val="Hyperlink"/>
          <w:color w:val="auto"/>
        </w:rPr>
        <w:lastRenderedPageBreak/>
        <w:t>Example</w:t>
      </w:r>
      <w:r>
        <w:rPr>
          <w:rStyle w:val="Hyperlink"/>
          <w:color w:val="auto"/>
          <w:u w:val="none"/>
        </w:rPr>
        <w:t xml:space="preserve">:  </w:t>
      </w:r>
      <w:r>
        <w:rPr>
          <w:rStyle w:val="Hyperlink"/>
          <w:color w:val="auto"/>
          <w:u w:val="none"/>
        </w:rPr>
        <w:tab/>
        <w:t xml:space="preserve">Midterm grade = </w:t>
      </w:r>
      <w:r>
        <w:rPr>
          <w:rStyle w:val="Hyperlink"/>
          <w:color w:val="auto"/>
          <w:u w:val="none"/>
        </w:rPr>
        <w:tab/>
      </w:r>
      <w:r>
        <w:rPr>
          <w:rStyle w:val="Hyperlink"/>
          <w:color w:val="auto"/>
          <w:u w:val="none"/>
        </w:rPr>
        <w:tab/>
      </w:r>
      <w:r>
        <w:rPr>
          <w:rStyle w:val="Hyperlink"/>
          <w:color w:val="auto"/>
          <w:u w:val="none"/>
        </w:rPr>
        <w:tab/>
        <w:t xml:space="preserve">80 (.3) = </w:t>
      </w:r>
      <w:r>
        <w:rPr>
          <w:rStyle w:val="Hyperlink"/>
          <w:color w:val="auto"/>
          <w:u w:val="none"/>
        </w:rPr>
        <w:tab/>
        <w:t>24</w:t>
      </w:r>
    </w:p>
    <w:p w14:paraId="32EA8FFA" w14:textId="77777777" w:rsidR="0091776F" w:rsidRDefault="0091776F" w:rsidP="0091776F">
      <w:pPr>
        <w:contextualSpacing/>
        <w:rPr>
          <w:rStyle w:val="Hyperlink"/>
          <w:color w:val="auto"/>
          <w:u w:val="none"/>
        </w:rPr>
      </w:pPr>
      <w:r>
        <w:rPr>
          <w:rStyle w:val="Hyperlink"/>
          <w:color w:val="auto"/>
          <w:u w:val="none"/>
        </w:rPr>
        <w:tab/>
      </w:r>
      <w:r>
        <w:rPr>
          <w:rStyle w:val="Hyperlink"/>
          <w:color w:val="auto"/>
          <w:u w:val="none"/>
        </w:rPr>
        <w:tab/>
      </w:r>
      <w:r>
        <w:rPr>
          <w:rStyle w:val="Hyperlink"/>
          <w:color w:val="auto"/>
          <w:u w:val="none"/>
        </w:rPr>
        <w:tab/>
        <w:t xml:space="preserve">Final Exam grade = </w:t>
      </w:r>
      <w:r>
        <w:rPr>
          <w:rStyle w:val="Hyperlink"/>
          <w:color w:val="auto"/>
          <w:u w:val="none"/>
        </w:rPr>
        <w:tab/>
      </w:r>
      <w:r>
        <w:rPr>
          <w:rStyle w:val="Hyperlink"/>
          <w:color w:val="auto"/>
          <w:u w:val="none"/>
        </w:rPr>
        <w:tab/>
      </w:r>
      <w:r>
        <w:rPr>
          <w:rStyle w:val="Hyperlink"/>
          <w:color w:val="auto"/>
          <w:u w:val="none"/>
        </w:rPr>
        <w:tab/>
        <w:t xml:space="preserve">90 (.4) = </w:t>
      </w:r>
      <w:r>
        <w:rPr>
          <w:rStyle w:val="Hyperlink"/>
          <w:color w:val="auto"/>
          <w:u w:val="none"/>
        </w:rPr>
        <w:tab/>
        <w:t>36</w:t>
      </w:r>
    </w:p>
    <w:p w14:paraId="6BA2495A" w14:textId="77777777" w:rsidR="0091776F" w:rsidRDefault="0091776F" w:rsidP="0091776F">
      <w:pPr>
        <w:contextualSpacing/>
        <w:rPr>
          <w:rStyle w:val="Hyperlink"/>
          <w:color w:val="auto"/>
          <w:u w:val="none"/>
        </w:rPr>
      </w:pPr>
      <w:r>
        <w:rPr>
          <w:rStyle w:val="Hyperlink"/>
          <w:color w:val="auto"/>
          <w:u w:val="none"/>
        </w:rPr>
        <w:tab/>
      </w:r>
      <w:r>
        <w:rPr>
          <w:rStyle w:val="Hyperlink"/>
          <w:color w:val="auto"/>
          <w:u w:val="none"/>
        </w:rPr>
        <w:tab/>
      </w:r>
      <w:r>
        <w:rPr>
          <w:rStyle w:val="Hyperlink"/>
          <w:color w:val="auto"/>
          <w:u w:val="none"/>
        </w:rPr>
        <w:tab/>
        <w:t>Participation – Attendance</w:t>
      </w:r>
      <w:r>
        <w:rPr>
          <w:rStyle w:val="Hyperlink"/>
          <w:color w:val="auto"/>
          <w:u w:val="none"/>
        </w:rPr>
        <w:tab/>
      </w:r>
      <w:r>
        <w:rPr>
          <w:rStyle w:val="Hyperlink"/>
          <w:color w:val="auto"/>
          <w:u w:val="none"/>
        </w:rPr>
        <w:tab/>
        <w:t xml:space="preserve">100(.15) = </w:t>
      </w:r>
      <w:r>
        <w:rPr>
          <w:rStyle w:val="Hyperlink"/>
          <w:color w:val="auto"/>
          <w:u w:val="none"/>
        </w:rPr>
        <w:tab/>
        <w:t>15</w:t>
      </w:r>
    </w:p>
    <w:p w14:paraId="4BE4F23D" w14:textId="77777777" w:rsidR="0091776F" w:rsidRDefault="0091776F" w:rsidP="0091776F">
      <w:pPr>
        <w:contextualSpacing/>
        <w:rPr>
          <w:rStyle w:val="Hyperlink"/>
          <w:color w:val="auto"/>
          <w:u w:val="none"/>
        </w:rPr>
      </w:pPr>
      <w:r>
        <w:rPr>
          <w:rStyle w:val="Hyperlink"/>
          <w:color w:val="auto"/>
          <w:u w:val="none"/>
        </w:rPr>
        <w:tab/>
      </w:r>
      <w:r>
        <w:rPr>
          <w:rStyle w:val="Hyperlink"/>
          <w:color w:val="auto"/>
          <w:u w:val="none"/>
        </w:rPr>
        <w:tab/>
      </w:r>
      <w:r>
        <w:rPr>
          <w:rStyle w:val="Hyperlink"/>
          <w:color w:val="auto"/>
          <w:u w:val="none"/>
        </w:rPr>
        <w:tab/>
        <w:t xml:space="preserve">Participation – Class Discussion </w:t>
      </w:r>
      <w:r>
        <w:rPr>
          <w:rStyle w:val="Hyperlink"/>
          <w:color w:val="auto"/>
          <w:u w:val="none"/>
        </w:rPr>
        <w:tab/>
      </w:r>
      <w:r>
        <w:rPr>
          <w:rStyle w:val="Hyperlink"/>
          <w:color w:val="auto"/>
          <w:u w:val="none"/>
        </w:rPr>
        <w:tab/>
        <w:t xml:space="preserve">100(.15) = </w:t>
      </w:r>
      <w:r>
        <w:rPr>
          <w:rStyle w:val="Hyperlink"/>
          <w:color w:val="auto"/>
          <w:u w:val="none"/>
        </w:rPr>
        <w:tab/>
        <w:t>15</w:t>
      </w:r>
    </w:p>
    <w:p w14:paraId="292DE168" w14:textId="77777777" w:rsidR="0091776F" w:rsidRPr="0091776F" w:rsidRDefault="0091776F" w:rsidP="0091776F">
      <w:pPr>
        <w:contextualSpacing/>
        <w:rPr>
          <w:rStyle w:val="Hyperlink"/>
          <w:color w:val="auto"/>
          <w:u w:val="none"/>
        </w:rPr>
      </w:pPr>
      <w:r>
        <w:rPr>
          <w:rStyle w:val="Hyperlink"/>
          <w:color w:val="auto"/>
          <w:u w:val="none"/>
        </w:rPr>
        <w:tab/>
      </w:r>
      <w:r>
        <w:rPr>
          <w:rStyle w:val="Hyperlink"/>
          <w:color w:val="auto"/>
          <w:u w:val="none"/>
        </w:rPr>
        <w:tab/>
      </w:r>
      <w:r>
        <w:rPr>
          <w:rStyle w:val="Hyperlink"/>
          <w:color w:val="auto"/>
          <w:u w:val="none"/>
        </w:rPr>
        <w:tab/>
      </w:r>
      <w:r>
        <w:rPr>
          <w:rStyle w:val="Hyperlink"/>
          <w:color w:val="auto"/>
        </w:rPr>
        <w:t>Final Grade</w:t>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r>
      <w:r>
        <w:rPr>
          <w:rStyle w:val="Hyperlink"/>
          <w:color w:val="auto"/>
          <w:u w:val="none"/>
        </w:rPr>
        <w:tab/>
        <w:t>90 (A)</w:t>
      </w:r>
    </w:p>
    <w:p w14:paraId="602D250D" w14:textId="77777777" w:rsidR="0091776F" w:rsidRPr="0091776F" w:rsidRDefault="0091776F" w:rsidP="0091776F">
      <w:pPr>
        <w:contextualSpacing/>
        <w:rPr>
          <w:rStyle w:val="Hyperlink"/>
          <w:color w:val="auto"/>
          <w:u w:val="none"/>
        </w:rPr>
      </w:pPr>
    </w:p>
    <w:p w14:paraId="3EF34E7F" w14:textId="77777777" w:rsidR="0091776F" w:rsidRPr="0091776F" w:rsidRDefault="0091776F" w:rsidP="00AF628F">
      <w:pPr>
        <w:pStyle w:val="ListParagraph"/>
        <w:numPr>
          <w:ilvl w:val="0"/>
          <w:numId w:val="20"/>
        </w:numPr>
        <w:rPr>
          <w:rStyle w:val="Hyperlink"/>
          <w:color w:val="auto"/>
          <w:u w:val="none"/>
        </w:rPr>
      </w:pPr>
      <w:r>
        <w:rPr>
          <w:rStyle w:val="Hyperlink"/>
          <w:b/>
          <w:color w:val="auto"/>
        </w:rPr>
        <w:t>Exam Procedure</w:t>
      </w:r>
      <w:r>
        <w:rPr>
          <w:rStyle w:val="Hyperlink"/>
          <w:color w:val="auto"/>
          <w:u w:val="none"/>
        </w:rPr>
        <w:t xml:space="preserve">:  Exams will be administered in class and proctored by the instructor.  You will be given the option to provide </w:t>
      </w:r>
      <w:proofErr w:type="gramStart"/>
      <w:r w:rsidR="009E43E2">
        <w:rPr>
          <w:rStyle w:val="Hyperlink"/>
          <w:color w:val="auto"/>
          <w:u w:val="none"/>
        </w:rPr>
        <w:t>hand written</w:t>
      </w:r>
      <w:proofErr w:type="gramEnd"/>
      <w:r w:rsidR="009E43E2">
        <w:rPr>
          <w:rStyle w:val="Hyperlink"/>
          <w:color w:val="auto"/>
          <w:u w:val="none"/>
        </w:rPr>
        <w:t xml:space="preserve"> </w:t>
      </w:r>
      <w:r>
        <w:rPr>
          <w:rStyle w:val="Hyperlink"/>
          <w:color w:val="auto"/>
          <w:u w:val="none"/>
        </w:rPr>
        <w:t xml:space="preserve">answers to the exam on hard copies of the exam handed out to you at the beginning of the exam or you may type your answers in Word in </w:t>
      </w:r>
      <w:r w:rsidR="009E43E2">
        <w:rPr>
          <w:rStyle w:val="Hyperlink"/>
          <w:color w:val="auto"/>
          <w:u w:val="none"/>
        </w:rPr>
        <w:t>the exam document that</w:t>
      </w:r>
      <w:r>
        <w:rPr>
          <w:rStyle w:val="Hyperlink"/>
          <w:color w:val="auto"/>
          <w:u w:val="none"/>
        </w:rPr>
        <w:t xml:space="preserve"> will be emailed to you at the beginning of class.  At the close of the exam period</w:t>
      </w:r>
      <w:r w:rsidR="009E43E2">
        <w:rPr>
          <w:rStyle w:val="Hyperlink"/>
          <w:color w:val="auto"/>
          <w:u w:val="none"/>
        </w:rPr>
        <w:t>,</w:t>
      </w:r>
      <w:r>
        <w:rPr>
          <w:rStyle w:val="Hyperlink"/>
          <w:color w:val="auto"/>
          <w:u w:val="none"/>
        </w:rPr>
        <w:t xml:space="preserve"> you will email </w:t>
      </w:r>
      <w:r w:rsidR="009E43E2">
        <w:rPr>
          <w:rStyle w:val="Hyperlink"/>
          <w:color w:val="auto"/>
          <w:u w:val="none"/>
        </w:rPr>
        <w:t xml:space="preserve">the </w:t>
      </w:r>
      <w:r>
        <w:rPr>
          <w:rStyle w:val="Hyperlink"/>
          <w:color w:val="auto"/>
          <w:u w:val="none"/>
        </w:rPr>
        <w:t xml:space="preserve">instructor your </w:t>
      </w:r>
      <w:r w:rsidR="009E43E2">
        <w:rPr>
          <w:rStyle w:val="Hyperlink"/>
          <w:color w:val="auto"/>
          <w:u w:val="none"/>
        </w:rPr>
        <w:t xml:space="preserve">exam or hand in the hard copy exam answers.  You are not to use your commuter or phone or any other online device to aid you in your answers.  You may bring into the exam an outline or compilation of notes that may not exceed 10 pages.  The outline or notes are to be of your own compilation and not from an outside source.  Fellow students may collaborate, however, on the development of such outlines/notes.  There is no restriction on the size of font you choose to use for your outline/notes.  </w:t>
      </w:r>
    </w:p>
    <w:p w14:paraId="171731C2" w14:textId="77777777" w:rsidR="00AF628F" w:rsidRDefault="00AF628F" w:rsidP="00AF628F">
      <w:pPr>
        <w:pStyle w:val="ListParagraph"/>
        <w:numPr>
          <w:ilvl w:val="0"/>
          <w:numId w:val="20"/>
        </w:numPr>
        <w:rPr>
          <w:rStyle w:val="Hyperlink"/>
          <w:color w:val="auto"/>
          <w:u w:val="none"/>
        </w:rPr>
      </w:pPr>
      <w:r>
        <w:rPr>
          <w:rStyle w:val="Hyperlink"/>
          <w:b/>
          <w:color w:val="auto"/>
        </w:rPr>
        <w:t>Exam Makeup Procedure</w:t>
      </w:r>
      <w:r>
        <w:rPr>
          <w:rStyle w:val="Hyperlink"/>
          <w:color w:val="auto"/>
          <w:u w:val="none"/>
        </w:rPr>
        <w:t xml:space="preserve">:  Makeup exams will be scheduled for a time and location in coordination with the student and the instructor.  </w:t>
      </w:r>
    </w:p>
    <w:p w14:paraId="6FDCAE39" w14:textId="77777777" w:rsidR="00AF628F" w:rsidRPr="00AF628F" w:rsidRDefault="00AF628F" w:rsidP="00AF628F">
      <w:pPr>
        <w:pStyle w:val="ListParagraph"/>
        <w:numPr>
          <w:ilvl w:val="0"/>
          <w:numId w:val="20"/>
        </w:numPr>
        <w:rPr>
          <w:rStyle w:val="Hyperlink"/>
          <w:color w:val="auto"/>
          <w:u w:val="none"/>
        </w:rPr>
      </w:pPr>
      <w:r>
        <w:rPr>
          <w:rStyle w:val="Hyperlink"/>
          <w:b/>
          <w:color w:val="auto"/>
        </w:rPr>
        <w:t>Attendance Policy</w:t>
      </w:r>
      <w:r>
        <w:rPr>
          <w:rStyle w:val="Hyperlink"/>
          <w:color w:val="auto"/>
          <w:u w:val="none"/>
        </w:rPr>
        <w:t xml:space="preserve">:  Since our class only meets once a week, missing even one class is not </w:t>
      </w:r>
      <w:proofErr w:type="gramStart"/>
      <w:r>
        <w:rPr>
          <w:rStyle w:val="Hyperlink"/>
          <w:color w:val="auto"/>
          <w:u w:val="none"/>
        </w:rPr>
        <w:t>advised</w:t>
      </w:r>
      <w:proofErr w:type="gramEnd"/>
      <w:r>
        <w:rPr>
          <w:rStyle w:val="Hyperlink"/>
          <w:color w:val="auto"/>
          <w:u w:val="none"/>
        </w:rPr>
        <w:t xml:space="preserve">.  Excused absences will not count against your participation grade; however, only genuine, unavoidable emergencies will be excused.  Perfect attendance will earn a 100 on the attendance portion of the participation grade.  </w:t>
      </w:r>
      <w:r w:rsidR="009E43E2">
        <w:rPr>
          <w:rStyle w:val="Hyperlink"/>
          <w:color w:val="auto"/>
          <w:u w:val="none"/>
        </w:rPr>
        <w:t>An</w:t>
      </w:r>
      <w:r>
        <w:rPr>
          <w:rStyle w:val="Hyperlink"/>
          <w:color w:val="auto"/>
          <w:u w:val="none"/>
        </w:rPr>
        <w:t xml:space="preserve"> absence will result in a 90</w:t>
      </w:r>
      <w:r w:rsidR="0091776F">
        <w:rPr>
          <w:rStyle w:val="Hyperlink"/>
          <w:color w:val="auto"/>
          <w:u w:val="none"/>
        </w:rPr>
        <w:t xml:space="preserve">; 2 absences an 80; </w:t>
      </w:r>
      <w:r>
        <w:rPr>
          <w:rStyle w:val="Hyperlink"/>
          <w:color w:val="auto"/>
          <w:u w:val="none"/>
        </w:rPr>
        <w:t>3 absences a 70</w:t>
      </w:r>
      <w:r w:rsidR="0091776F">
        <w:rPr>
          <w:rStyle w:val="Hyperlink"/>
          <w:color w:val="auto"/>
          <w:u w:val="none"/>
        </w:rPr>
        <w:t xml:space="preserve">; and 4 or more absences will earn the student a 60 on the attendance portion of the participation grade.  Similarly, poor attendance will impact the class discussion portion of participation grade as well. </w:t>
      </w:r>
    </w:p>
    <w:p w14:paraId="0014BD3E" w14:textId="77777777" w:rsidR="00551C9F" w:rsidRDefault="00551C9F" w:rsidP="00551C9F">
      <w:pPr>
        <w:contextualSpacing/>
        <w:rPr>
          <w:rStyle w:val="Hyperlink"/>
          <w:color w:val="auto"/>
          <w:u w:val="none"/>
        </w:rPr>
      </w:pPr>
    </w:p>
    <w:p w14:paraId="36ACA2CE" w14:textId="77777777" w:rsidR="00551C9F" w:rsidRPr="00551C9F" w:rsidRDefault="00551C9F" w:rsidP="00551C9F">
      <w:pPr>
        <w:contextualSpacing/>
        <w:rPr>
          <w:rStyle w:val="Hyperlink"/>
          <w:color w:val="auto"/>
          <w:u w:val="none"/>
        </w:rPr>
      </w:pPr>
    </w:p>
    <w:p w14:paraId="17EE83EB" w14:textId="77777777" w:rsidR="00197D26" w:rsidRDefault="00197D26" w:rsidP="00197D26"/>
    <w:p w14:paraId="34478FA2" w14:textId="77777777" w:rsidR="00197D26" w:rsidRPr="00551C9F" w:rsidRDefault="00197D26" w:rsidP="00197D26">
      <w:pPr>
        <w:rPr>
          <w:rFonts w:ascii="Calibri" w:hAnsi="Calibri" w:cs="Calibri"/>
          <w:b/>
          <w:u w:val="single"/>
        </w:rPr>
      </w:pPr>
      <w:r w:rsidRPr="00551C9F">
        <w:rPr>
          <w:rFonts w:ascii="Calibri" w:hAnsi="Calibri" w:cs="Calibri"/>
          <w:b/>
          <w:u w:val="single"/>
        </w:rPr>
        <w:t>Administrative Items</w:t>
      </w:r>
    </w:p>
    <w:p w14:paraId="385E1BB5" w14:textId="77777777" w:rsidR="00197D26" w:rsidRPr="00551C9F" w:rsidRDefault="00197D26" w:rsidP="00197D26">
      <w:pPr>
        <w:rPr>
          <w:rFonts w:ascii="Calibri" w:hAnsi="Calibri" w:cs="Calibri"/>
          <w:b/>
        </w:rPr>
      </w:pPr>
      <w:r w:rsidRPr="00551C9F">
        <w:rPr>
          <w:rFonts w:ascii="Calibri" w:hAnsi="Calibri" w:cs="Calibri"/>
          <w:b/>
        </w:rPr>
        <w:t>E-Learning</w:t>
      </w:r>
    </w:p>
    <w:p w14:paraId="0D59D123" w14:textId="77777777" w:rsidR="00197D26" w:rsidRPr="00551C9F" w:rsidRDefault="00197D26" w:rsidP="00197D26">
      <w:pPr>
        <w:rPr>
          <w:rFonts w:ascii="Calibri" w:hAnsi="Calibri" w:cs="Calibri"/>
          <w:bCs/>
        </w:rPr>
      </w:pPr>
      <w:r w:rsidRPr="00551C9F">
        <w:rPr>
          <w:rFonts w:ascii="Calibri" w:hAnsi="Calibri" w:cs="Calibri"/>
          <w:bCs/>
        </w:rPr>
        <w:t>Students must become acquainted with eLearning Commons for this class (</w:t>
      </w:r>
      <w:hyperlink r:id="rId41" w:history="1">
        <w:r w:rsidRPr="00551C9F">
          <w:rPr>
            <w:rStyle w:val="Hyperlink"/>
            <w:rFonts w:ascii="Calibri" w:hAnsi="Calibri" w:cs="Calibri"/>
            <w:bCs/>
          </w:rPr>
          <w:t>https://uga.view.usg.edu/</w:t>
        </w:r>
      </w:hyperlink>
      <w:r w:rsidRPr="00551C9F">
        <w:rPr>
          <w:rFonts w:ascii="Calibri" w:hAnsi="Calibri" w:cs="Calibri"/>
          <w:bCs/>
        </w:rPr>
        <w:t xml:space="preserve">). </w:t>
      </w:r>
      <w:r w:rsidRPr="00551C9F">
        <w:rPr>
          <w:rFonts w:ascii="Calibri" w:hAnsi="Calibri" w:cs="Calibri"/>
        </w:rPr>
        <w:t xml:space="preserve">Sign into </w:t>
      </w:r>
      <w:proofErr w:type="spellStart"/>
      <w:r w:rsidRPr="00551C9F">
        <w:rPr>
          <w:rFonts w:ascii="Calibri" w:hAnsi="Calibri" w:cs="Calibri"/>
        </w:rPr>
        <w:t>eLC</w:t>
      </w:r>
      <w:proofErr w:type="spellEnd"/>
      <w:r w:rsidRPr="00551C9F">
        <w:rPr>
          <w:rFonts w:ascii="Calibri" w:hAnsi="Calibri" w:cs="Calibri"/>
        </w:rPr>
        <w:t xml:space="preserve"> using your UGA </w:t>
      </w:r>
      <w:proofErr w:type="spellStart"/>
      <w:r w:rsidRPr="00551C9F">
        <w:rPr>
          <w:rFonts w:ascii="Calibri" w:hAnsi="Calibri" w:cs="Calibri"/>
        </w:rPr>
        <w:t>MyId</w:t>
      </w:r>
      <w:proofErr w:type="spellEnd"/>
      <w:r w:rsidRPr="00551C9F">
        <w:rPr>
          <w:rFonts w:ascii="Calibri" w:hAnsi="Calibri" w:cs="Calibri"/>
        </w:rPr>
        <w:t xml:space="preserve"> and password. If registered for the class, the course link should show up on the student’s </w:t>
      </w:r>
      <w:proofErr w:type="spellStart"/>
      <w:r w:rsidRPr="00551C9F">
        <w:rPr>
          <w:rFonts w:ascii="Calibri" w:hAnsi="Calibri" w:cs="Calibri"/>
        </w:rPr>
        <w:t>eLC</w:t>
      </w:r>
      <w:proofErr w:type="spellEnd"/>
      <w:r w:rsidRPr="00551C9F">
        <w:rPr>
          <w:rFonts w:ascii="Calibri" w:hAnsi="Calibri" w:cs="Calibri"/>
        </w:rPr>
        <w:t xml:space="preserve"> homepage.</w:t>
      </w:r>
      <w:r w:rsidRPr="00551C9F">
        <w:rPr>
          <w:rFonts w:ascii="Calibri" w:hAnsi="Calibri" w:cs="Calibri"/>
          <w:bCs/>
        </w:rPr>
        <w:t xml:space="preserve"> </w:t>
      </w:r>
      <w:r w:rsidRPr="00551C9F">
        <w:rPr>
          <w:rFonts w:ascii="Calibri" w:hAnsi="Calibri" w:cs="Calibri"/>
        </w:rPr>
        <w:t>Most co</w:t>
      </w:r>
      <w:r w:rsidR="002900C5">
        <w:rPr>
          <w:rFonts w:ascii="Calibri" w:hAnsi="Calibri" w:cs="Calibri"/>
        </w:rPr>
        <w:t xml:space="preserve">ntent will be available via </w:t>
      </w:r>
      <w:proofErr w:type="spellStart"/>
      <w:r w:rsidR="002900C5">
        <w:rPr>
          <w:rFonts w:ascii="Calibri" w:hAnsi="Calibri" w:cs="Calibri"/>
        </w:rPr>
        <w:t>eLC</w:t>
      </w:r>
      <w:proofErr w:type="spellEnd"/>
      <w:r w:rsidR="002900C5">
        <w:rPr>
          <w:rFonts w:ascii="Calibri" w:hAnsi="Calibri" w:cs="Calibri"/>
        </w:rPr>
        <w:t>.</w:t>
      </w:r>
      <w:r w:rsidRPr="00551C9F">
        <w:rPr>
          <w:rFonts w:ascii="Calibri" w:hAnsi="Calibri" w:cs="Calibri"/>
        </w:rPr>
        <w:t xml:space="preserve"> </w:t>
      </w:r>
    </w:p>
    <w:p w14:paraId="49B8F226" w14:textId="77777777" w:rsidR="00197D26" w:rsidRPr="00551C9F" w:rsidRDefault="00197D26" w:rsidP="00197D26">
      <w:pPr>
        <w:rPr>
          <w:rFonts w:ascii="Calibri" w:hAnsi="Calibri" w:cs="Calibri"/>
        </w:rPr>
      </w:pPr>
    </w:p>
    <w:p w14:paraId="572E6BC1" w14:textId="77777777" w:rsidR="00197D26" w:rsidRPr="00551C9F" w:rsidRDefault="00197D26" w:rsidP="00197D26">
      <w:pPr>
        <w:rPr>
          <w:rFonts w:ascii="Calibri" w:hAnsi="Calibri" w:cs="Calibri"/>
          <w:b/>
        </w:rPr>
      </w:pPr>
      <w:r w:rsidRPr="00551C9F">
        <w:rPr>
          <w:rFonts w:ascii="Calibri" w:hAnsi="Calibri" w:cs="Calibri"/>
          <w:b/>
        </w:rPr>
        <w:t>Disability resource center</w:t>
      </w:r>
    </w:p>
    <w:p w14:paraId="2AE89DB0" w14:textId="77777777" w:rsidR="00197D26" w:rsidRPr="00551C9F" w:rsidRDefault="00197D26" w:rsidP="00197D26">
      <w:pPr>
        <w:rPr>
          <w:rFonts w:ascii="Calibri" w:hAnsi="Calibri" w:cs="Calibri"/>
        </w:rPr>
      </w:pPr>
      <w:r w:rsidRPr="00551C9F">
        <w:rPr>
          <w:rFonts w:ascii="Calibri" w:hAnsi="Calibri" w:cs="Calibri"/>
        </w:rPr>
        <w:t xml:space="preserve">If the student anticipates needing classroom or exam accommodations due to the impact of a disability or medical condition, they must register for services with the Disability Resource Center. Additional information can be found here: </w:t>
      </w:r>
      <w:hyperlink r:id="rId42" w:history="1">
        <w:r w:rsidRPr="00551C9F">
          <w:rPr>
            <w:rStyle w:val="Hyperlink"/>
            <w:rFonts w:ascii="Calibri" w:hAnsi="Calibri" w:cs="Calibri"/>
          </w:rPr>
          <w:t>http://drc.uga.edu/</w:t>
        </w:r>
      </w:hyperlink>
    </w:p>
    <w:p w14:paraId="38F622DC" w14:textId="77777777" w:rsidR="00197D26" w:rsidRPr="00551C9F" w:rsidRDefault="00197D26" w:rsidP="00197D26">
      <w:pPr>
        <w:rPr>
          <w:rFonts w:ascii="Calibri" w:hAnsi="Calibri" w:cs="Calibri"/>
          <w:b/>
          <w:highlight w:val="yellow"/>
        </w:rPr>
      </w:pPr>
    </w:p>
    <w:p w14:paraId="55A4150E" w14:textId="77777777" w:rsidR="00197D26" w:rsidRPr="00551C9F" w:rsidRDefault="00197D26" w:rsidP="00197D26">
      <w:pPr>
        <w:rPr>
          <w:rFonts w:ascii="Calibri" w:hAnsi="Calibri" w:cs="Calibri"/>
          <w:b/>
        </w:rPr>
      </w:pPr>
      <w:r w:rsidRPr="00551C9F">
        <w:rPr>
          <w:rFonts w:ascii="Calibri" w:hAnsi="Calibri" w:cs="Calibri"/>
          <w:b/>
        </w:rPr>
        <w:t>Withdrawal policy</w:t>
      </w:r>
    </w:p>
    <w:p w14:paraId="12C8B0B3" w14:textId="77777777" w:rsidR="00197D26" w:rsidRPr="00551C9F" w:rsidRDefault="00197D26" w:rsidP="00197D26">
      <w:pPr>
        <w:rPr>
          <w:rFonts w:ascii="Calibri" w:hAnsi="Calibri" w:cs="Calibri"/>
        </w:rPr>
      </w:pPr>
      <w:r w:rsidRPr="00551C9F">
        <w:rPr>
          <w:rFonts w:ascii="Calibri" w:hAnsi="Calibri" w:cs="Calibri"/>
        </w:rPr>
        <w:t xml:space="preserve">Undergraduate students can only withdraw from four courses and receive a withdrawal-passing (WP) grade while enrolled at the University. Students can drop any class without penalty during the drop/add period at the beginning of every semester. Dropped courses during the drop/add period do not qualify as withdrawals. Instructors </w:t>
      </w:r>
      <w:proofErr w:type="gramStart"/>
      <w:r w:rsidRPr="00551C9F">
        <w:rPr>
          <w:rFonts w:ascii="Calibri" w:hAnsi="Calibri" w:cs="Calibri"/>
        </w:rPr>
        <w:t>have the ability to</w:t>
      </w:r>
      <w:proofErr w:type="gramEnd"/>
      <w:r w:rsidRPr="00551C9F">
        <w:rPr>
          <w:rFonts w:ascii="Calibri" w:hAnsi="Calibri" w:cs="Calibri"/>
        </w:rPr>
        <w:t xml:space="preserve"> withdraw a student from the class due to excessive absences. Please carefully review the policy in its entirety here: </w:t>
      </w:r>
      <w:hyperlink r:id="rId43" w:history="1">
        <w:r w:rsidRPr="00551C9F">
          <w:rPr>
            <w:rStyle w:val="Hyperlink"/>
            <w:rFonts w:ascii="Calibri" w:hAnsi="Calibri" w:cs="Calibri"/>
          </w:rPr>
          <w:t>http://www.reg.uga.edu/policies/withdrawals</w:t>
        </w:r>
      </w:hyperlink>
    </w:p>
    <w:p w14:paraId="382F8B1C" w14:textId="77777777" w:rsidR="00197D26" w:rsidRPr="00551C9F" w:rsidRDefault="00197D26" w:rsidP="00197D26">
      <w:pPr>
        <w:rPr>
          <w:rFonts w:ascii="Calibri" w:hAnsi="Calibri" w:cs="Calibri"/>
          <w:highlight w:val="yellow"/>
        </w:rPr>
      </w:pPr>
    </w:p>
    <w:p w14:paraId="12F880F9" w14:textId="77777777" w:rsidR="00197D26" w:rsidRPr="00551C9F" w:rsidRDefault="00197D26" w:rsidP="00197D26">
      <w:pPr>
        <w:rPr>
          <w:rFonts w:ascii="Calibri" w:hAnsi="Calibri" w:cs="Calibri"/>
          <w:b/>
        </w:rPr>
      </w:pPr>
      <w:r w:rsidRPr="00551C9F">
        <w:rPr>
          <w:rFonts w:ascii="Calibri" w:hAnsi="Calibri" w:cs="Calibri"/>
          <w:b/>
        </w:rPr>
        <w:t>UGA culture of honesty policy</w:t>
      </w:r>
    </w:p>
    <w:p w14:paraId="62789517" w14:textId="77777777" w:rsidR="0091776F" w:rsidRPr="0091776F" w:rsidRDefault="00197D26" w:rsidP="0091776F">
      <w:pPr>
        <w:rPr>
          <w:rFonts w:ascii="Calibri" w:hAnsi="Calibri" w:cs="Calibri"/>
          <w:color w:val="0563C1" w:themeColor="hyperlink"/>
          <w:u w:val="single"/>
        </w:rPr>
      </w:pPr>
      <w:r w:rsidRPr="00551C9F">
        <w:rPr>
          <w:rFonts w:ascii="Calibri" w:hAnsi="Calibri" w:cs="Calibri"/>
        </w:rPr>
        <w:t xml:space="preserve">The policy is in place to encourage academic honesty among students, </w:t>
      </w:r>
      <w:proofErr w:type="gramStart"/>
      <w:r w:rsidRPr="00551C9F">
        <w:rPr>
          <w:rFonts w:ascii="Calibri" w:hAnsi="Calibri" w:cs="Calibri"/>
        </w:rPr>
        <w:t>faculty</w:t>
      </w:r>
      <w:proofErr w:type="gramEnd"/>
      <w:r w:rsidRPr="00551C9F">
        <w:rPr>
          <w:rFonts w:ascii="Calibri" w:hAnsi="Calibri" w:cs="Calibri"/>
        </w:rPr>
        <w:t xml:space="preserve"> and other members of the university community. Students and faculty are responsible for knowing and complying with the policy and procedures. Academic dishonesty includes plagiarism, cheating and much more. It’s in the student’s best interest to understand what constitutes dishonest work, as defined by the University. Students caught cheating or plagiarizing will receive an F for the course, and their names will be forwarded to the University. Please carefully review the policy in its entirety here: </w:t>
      </w:r>
      <w:hyperlink r:id="rId44" w:history="1">
        <w:r w:rsidRPr="00551C9F">
          <w:rPr>
            <w:rStyle w:val="Hyperlink"/>
            <w:rFonts w:ascii="Calibri" w:hAnsi="Calibri" w:cs="Calibri"/>
          </w:rPr>
          <w:t>https://ovpi.uga.edu/academic-honesty/academic-honesty-policy</w:t>
        </w:r>
      </w:hyperlink>
    </w:p>
    <w:p w14:paraId="46FC7BE1" w14:textId="77777777" w:rsidR="00197D26" w:rsidRPr="00551C9F" w:rsidRDefault="00197D26" w:rsidP="00197D26">
      <w:pPr>
        <w:rPr>
          <w:rFonts w:ascii="Calibri" w:hAnsi="Calibri" w:cs="Calibri"/>
          <w:u w:val="single"/>
        </w:rPr>
      </w:pPr>
    </w:p>
    <w:p w14:paraId="5F294F7D" w14:textId="77777777" w:rsidR="00197D26" w:rsidRPr="00551C9F" w:rsidRDefault="00197D26" w:rsidP="00197D26">
      <w:pPr>
        <w:rPr>
          <w:rFonts w:ascii="Calibri" w:hAnsi="Calibri" w:cs="Calibri"/>
          <w:b/>
          <w:bCs/>
        </w:rPr>
      </w:pPr>
      <w:r w:rsidRPr="00551C9F">
        <w:rPr>
          <w:rStyle w:val="Emphasis"/>
          <w:rFonts w:ascii="Calibri" w:hAnsi="Calibri" w:cs="Calibri"/>
          <w:b/>
          <w:bCs/>
        </w:rPr>
        <w:t>Mental Health and Wellness Resources:</w:t>
      </w:r>
      <w:r w:rsidRPr="00551C9F">
        <w:rPr>
          <w:rFonts w:ascii="Calibri" w:hAnsi="Calibri" w:cs="Calibri"/>
          <w:b/>
          <w:bCs/>
        </w:rPr>
        <w:br/>
      </w:r>
      <w:r w:rsidRPr="00551C9F">
        <w:rPr>
          <w:rStyle w:val="Emphasis"/>
          <w:rFonts w:ascii="Calibri" w:hAnsi="Calibri" w:cs="Calibri"/>
        </w:rPr>
        <w:t>If you or someone you know needs assistance, you are encouraged to contact Student Care and Outreach in the Division of Student Affairs at 706-542-7774 or visit </w:t>
      </w:r>
      <w:hyperlink r:id="rId45" w:tgtFrame="_blank" w:history="1">
        <w:r w:rsidRPr="00551C9F">
          <w:rPr>
            <w:rStyle w:val="Hyperlink"/>
            <w:rFonts w:ascii="Calibri" w:hAnsi="Calibri" w:cs="Calibri"/>
            <w:color w:val="BA0C2F"/>
          </w:rPr>
          <w:t>https://sco.uga.edu</w:t>
        </w:r>
      </w:hyperlink>
      <w:r w:rsidRPr="00551C9F">
        <w:rPr>
          <w:rStyle w:val="Emphasis"/>
          <w:rFonts w:ascii="Calibri" w:hAnsi="Calibri" w:cs="Calibri"/>
        </w:rPr>
        <w:t>. They will help you navigate any difficult circumstances you may be facing by connecting you with the appropriate resources or services. </w:t>
      </w:r>
    </w:p>
    <w:p w14:paraId="4EDB45B3" w14:textId="77777777" w:rsidR="00197D26" w:rsidRPr="00551C9F" w:rsidRDefault="00197D26" w:rsidP="00197D26">
      <w:pPr>
        <w:rPr>
          <w:rFonts w:ascii="Calibri" w:hAnsi="Calibri" w:cs="Calibri"/>
          <w:b/>
          <w:bCs/>
        </w:rPr>
      </w:pPr>
    </w:p>
    <w:p w14:paraId="4D0DD552" w14:textId="77777777" w:rsidR="00197D26" w:rsidRPr="00551C9F" w:rsidRDefault="00197D26" w:rsidP="00197D26">
      <w:pPr>
        <w:rPr>
          <w:rFonts w:ascii="Calibri" w:hAnsi="Calibri" w:cs="Calibri"/>
          <w:b/>
          <w:bCs/>
        </w:rPr>
      </w:pPr>
      <w:r w:rsidRPr="00551C9F">
        <w:rPr>
          <w:rStyle w:val="Emphasis"/>
          <w:rFonts w:ascii="Calibri" w:hAnsi="Calibri" w:cs="Calibri"/>
        </w:rPr>
        <w:t>UGA has several resources for a student seeking mental health services (</w:t>
      </w:r>
      <w:hyperlink r:id="rId46" w:tgtFrame="_blank" w:history="1">
        <w:r w:rsidRPr="00551C9F">
          <w:rPr>
            <w:rStyle w:val="Hyperlink"/>
            <w:rFonts w:ascii="Calibri" w:hAnsi="Calibri" w:cs="Calibri"/>
            <w:color w:val="BA0C2F"/>
          </w:rPr>
          <w:t>https://www.uhs.uga.edu/bewelluga/bewelluga</w:t>
        </w:r>
      </w:hyperlink>
      <w:r w:rsidRPr="00551C9F">
        <w:rPr>
          <w:rStyle w:val="Emphasis"/>
          <w:rFonts w:ascii="Calibri" w:hAnsi="Calibri" w:cs="Calibri"/>
        </w:rPr>
        <w:t>) or crisis support (</w:t>
      </w:r>
      <w:hyperlink r:id="rId47" w:tgtFrame="_blank" w:history="1">
        <w:r w:rsidRPr="00551C9F">
          <w:rPr>
            <w:rStyle w:val="Hyperlink"/>
            <w:rFonts w:ascii="Calibri" w:hAnsi="Calibri" w:cs="Calibri"/>
            <w:color w:val="BA0C2F"/>
          </w:rPr>
          <w:t>https://www.uhs.uga.edu/info/emergencies</w:t>
        </w:r>
      </w:hyperlink>
      <w:r w:rsidRPr="00551C9F">
        <w:rPr>
          <w:rStyle w:val="Emphasis"/>
          <w:rFonts w:ascii="Calibri" w:hAnsi="Calibri" w:cs="Calibri"/>
        </w:rPr>
        <w:t>). </w:t>
      </w:r>
    </w:p>
    <w:p w14:paraId="26BD76D8" w14:textId="77777777" w:rsidR="00197D26" w:rsidRPr="00551C9F" w:rsidRDefault="00197D26" w:rsidP="00197D26">
      <w:pPr>
        <w:rPr>
          <w:rStyle w:val="Emphasis"/>
          <w:rFonts w:ascii="Calibri" w:hAnsi="Calibri" w:cs="Calibri"/>
          <w:i w:val="0"/>
          <w:iCs w:val="0"/>
        </w:rPr>
      </w:pPr>
    </w:p>
    <w:p w14:paraId="4D84FDF5" w14:textId="77777777" w:rsidR="00197D26" w:rsidRPr="00551C9F" w:rsidRDefault="00197D26" w:rsidP="00197D26">
      <w:pPr>
        <w:rPr>
          <w:rFonts w:ascii="Calibri" w:hAnsi="Calibri" w:cs="Calibri"/>
          <w:u w:val="single"/>
        </w:rPr>
      </w:pPr>
      <w:r w:rsidRPr="00551C9F">
        <w:rPr>
          <w:rStyle w:val="Emphasis"/>
          <w:rFonts w:ascii="Calibri" w:hAnsi="Calibri" w:cs="Calibri"/>
        </w:rPr>
        <w:t xml:space="preserve">If you need help managing stress anxiety, relationships, etc., please visit </w:t>
      </w:r>
      <w:proofErr w:type="spellStart"/>
      <w:r w:rsidRPr="00551C9F">
        <w:rPr>
          <w:rStyle w:val="Emphasis"/>
          <w:rFonts w:ascii="Calibri" w:hAnsi="Calibri" w:cs="Calibri"/>
        </w:rPr>
        <w:t>BeWellUGA</w:t>
      </w:r>
      <w:proofErr w:type="spellEnd"/>
      <w:r w:rsidRPr="00551C9F">
        <w:rPr>
          <w:rStyle w:val="Emphasis"/>
          <w:rFonts w:ascii="Calibri" w:hAnsi="Calibri" w:cs="Calibri"/>
        </w:rPr>
        <w:t xml:space="preserve"> (</w:t>
      </w:r>
      <w:hyperlink r:id="rId48" w:tgtFrame="_blank" w:history="1">
        <w:r w:rsidRPr="00551C9F">
          <w:rPr>
            <w:rStyle w:val="Hyperlink"/>
            <w:rFonts w:ascii="Calibri" w:hAnsi="Calibri" w:cs="Calibri"/>
            <w:color w:val="BA0C2F"/>
          </w:rPr>
          <w:t>https://www.uhs.uga.edu/bewelluga/bewelluga</w:t>
        </w:r>
      </w:hyperlink>
      <w:r w:rsidRPr="00551C9F">
        <w:rPr>
          <w:rStyle w:val="Emphasis"/>
          <w:rFonts w:ascii="Calibri" w:hAnsi="Calibri" w:cs="Calibri"/>
        </w:rPr>
        <w:t>) for a list of FREE workshops, classes, mentoring, and health coaching led by licensed clinicians and health educators in the University Health Center. Additional resources can be accessed through the UGA App. </w:t>
      </w:r>
    </w:p>
    <w:p w14:paraId="020F7068" w14:textId="77777777" w:rsidR="00197D26" w:rsidRPr="00551C9F" w:rsidRDefault="00197D26" w:rsidP="00197D26">
      <w:pPr>
        <w:pStyle w:val="xmsonormal"/>
        <w:spacing w:after="0" w:afterAutospacing="0"/>
        <w:ind w:right="288"/>
        <w:rPr>
          <w:rFonts w:ascii="Calibri" w:hAnsi="Calibri" w:cs="Calibri"/>
          <w:b/>
          <w:bCs/>
          <w:sz w:val="22"/>
          <w:szCs w:val="22"/>
        </w:rPr>
      </w:pPr>
      <w:bookmarkStart w:id="0" w:name="x__Hlk60747451"/>
      <w:r w:rsidRPr="00551C9F">
        <w:rPr>
          <w:rFonts w:ascii="Calibri" w:hAnsi="Calibri" w:cs="Calibri"/>
          <w:b/>
          <w:bCs/>
          <w:sz w:val="22"/>
          <w:szCs w:val="22"/>
        </w:rPr>
        <w:t>Prohibition on Recording Lectures</w:t>
      </w:r>
      <w:bookmarkEnd w:id="0"/>
      <w:r w:rsidRPr="00551C9F">
        <w:rPr>
          <w:rFonts w:ascii="Calibri" w:hAnsi="Calibri" w:cs="Calibri"/>
          <w:b/>
          <w:bCs/>
          <w:sz w:val="22"/>
          <w:szCs w:val="22"/>
        </w:rPr>
        <w:br/>
      </w:r>
      <w:r w:rsidRPr="00551C9F">
        <w:rPr>
          <w:rFonts w:ascii="Calibri" w:hAnsi="Calibri" w:cs="Calibri"/>
          <w:sz w:val="22"/>
          <w:szCs w:val="22"/>
        </w:rPr>
        <w:t xml:space="preserve">In the absence of written authorization from the UGA Disability Resource Center, students may </w:t>
      </w:r>
      <w:r w:rsidRPr="00551C9F">
        <w:rPr>
          <w:rFonts w:ascii="Calibri" w:hAnsi="Calibri" w:cs="Calibri"/>
          <w:sz w:val="22"/>
          <w:szCs w:val="22"/>
          <w:u w:val="single"/>
        </w:rPr>
        <w:t>not</w:t>
      </w:r>
      <w:r w:rsidRPr="00551C9F">
        <w:rPr>
          <w:rFonts w:ascii="Calibri" w:hAnsi="Calibri" w:cs="Calibri"/>
          <w:sz w:val="22"/>
          <w:szCs w:val="22"/>
        </w:rPr>
        <w:t xml:space="preserve"> </w:t>
      </w:r>
      <w:r w:rsidRPr="00551C9F">
        <w:rPr>
          <w:rFonts w:ascii="Calibri" w:hAnsi="Calibri" w:cs="Calibri"/>
          <w:sz w:val="22"/>
          <w:szCs w:val="22"/>
        </w:rPr>
        <w:lastRenderedPageBreak/>
        <w:t>make a visual or audio recording of any aspect of this course. Students who have a recording accommodation agree in writing that they:</w:t>
      </w:r>
    </w:p>
    <w:p w14:paraId="2557F570"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Will use the records only for personal academic use during the specific course.</w:t>
      </w:r>
    </w:p>
    <w:p w14:paraId="3A6F913F"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Understand that faculty members have copyright interest in their class lectures and that they agree not to infringe on this right in any way.</w:t>
      </w:r>
    </w:p>
    <w:p w14:paraId="6523FA45"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Understand that the faculty member and students in the class have privacy rights and agree not to violate those rights by using recordings for any reason other than their own personal study.</w:t>
      </w:r>
    </w:p>
    <w:p w14:paraId="304527D9"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Will not release, digitally upload, broadcast, transcribe, or otherwise share all or any part of the recordings. They also agree that they will not profit financially and will not allow others to benefit personally or financially from lecture recordings or other course materials.</w:t>
      </w:r>
    </w:p>
    <w:p w14:paraId="68167031"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Will erase/delete all recordings at the end of the semester.</w:t>
      </w:r>
    </w:p>
    <w:p w14:paraId="3FDB0921" w14:textId="77777777" w:rsidR="00197D26" w:rsidRPr="00551C9F" w:rsidRDefault="00197D26" w:rsidP="00197D26">
      <w:pPr>
        <w:pStyle w:val="xmsonormal"/>
        <w:numPr>
          <w:ilvl w:val="0"/>
          <w:numId w:val="16"/>
        </w:numPr>
        <w:spacing w:after="0" w:afterAutospacing="0"/>
        <w:ind w:right="288"/>
        <w:rPr>
          <w:rFonts w:ascii="Calibri" w:hAnsi="Calibri" w:cs="Calibri"/>
          <w:sz w:val="22"/>
          <w:szCs w:val="22"/>
        </w:rPr>
      </w:pPr>
      <w:r w:rsidRPr="00551C9F">
        <w:rPr>
          <w:rFonts w:ascii="Calibri" w:hAnsi="Calibri" w:cs="Calibri"/>
          <w:color w:val="000000"/>
          <w:sz w:val="22"/>
          <w:szCs w:val="22"/>
        </w:rPr>
        <w:t>Understand that violation of these terms may subject them to discipline under the Student Code of Conduct or subject them to liability under copyright laws.</w:t>
      </w:r>
    </w:p>
    <w:p w14:paraId="50F9FE18" w14:textId="77777777" w:rsidR="00197D26" w:rsidRPr="00551C9F" w:rsidRDefault="00197D26" w:rsidP="00197D26">
      <w:pPr>
        <w:rPr>
          <w:rFonts w:ascii="Calibri" w:hAnsi="Calibri" w:cs="Calibri"/>
          <w:color w:val="000000"/>
          <w:bdr w:val="none" w:sz="0" w:space="0" w:color="auto" w:frame="1"/>
        </w:rPr>
      </w:pPr>
    </w:p>
    <w:p w14:paraId="2195C705" w14:textId="77777777" w:rsidR="00197D26" w:rsidRPr="00551C9F" w:rsidRDefault="00197D26" w:rsidP="00197D26">
      <w:pPr>
        <w:rPr>
          <w:rFonts w:ascii="Calibri" w:hAnsi="Calibri" w:cs="Calibri"/>
          <w:i/>
          <w:iCs/>
        </w:rPr>
      </w:pPr>
      <w:r w:rsidRPr="00551C9F">
        <w:rPr>
          <w:rFonts w:ascii="Calibri" w:hAnsi="Calibri" w:cs="Calibri"/>
          <w:b/>
          <w:bCs/>
          <w:color w:val="000000"/>
          <w:bdr w:val="none" w:sz="0" w:space="0" w:color="auto" w:frame="1"/>
        </w:rPr>
        <w:t>Peer tutoring availability</w:t>
      </w:r>
      <w:r w:rsidRPr="00551C9F">
        <w:rPr>
          <w:rFonts w:ascii="Calibri" w:hAnsi="Calibri" w:cs="Calibri"/>
          <w:i/>
          <w:iCs/>
          <w:color w:val="000000"/>
          <w:bdr w:val="none" w:sz="0" w:space="0" w:color="auto" w:frame="1"/>
        </w:rPr>
        <w:br/>
      </w:r>
      <w:r w:rsidRPr="00551C9F">
        <w:rPr>
          <w:rStyle w:val="Emphasis"/>
          <w:rFonts w:ascii="Calibri" w:hAnsi="Calibri" w:cs="Calibri"/>
          <w:color w:val="000000"/>
          <w:bdr w:val="none" w:sz="0" w:space="0" w:color="auto" w:frame="1"/>
        </w:rPr>
        <w:t xml:space="preserve">The Division of Academic Enhancement (DAE) offers free peer tutoring in over 200 of UGA's most rigorous courses including writing tutoring. To engage with a Peer Tutor, download the </w:t>
      </w:r>
      <w:proofErr w:type="spellStart"/>
      <w:r w:rsidRPr="00551C9F">
        <w:rPr>
          <w:rStyle w:val="Emphasis"/>
          <w:rFonts w:ascii="Calibri" w:hAnsi="Calibri" w:cs="Calibri"/>
          <w:color w:val="000000"/>
          <w:bdr w:val="none" w:sz="0" w:space="0" w:color="auto" w:frame="1"/>
        </w:rPr>
        <w:t>Penji</w:t>
      </w:r>
      <w:proofErr w:type="spellEnd"/>
      <w:r w:rsidRPr="00551C9F">
        <w:rPr>
          <w:rStyle w:val="Emphasis"/>
          <w:rFonts w:ascii="Calibri" w:hAnsi="Calibri" w:cs="Calibri"/>
          <w:color w:val="000000"/>
          <w:bdr w:val="none" w:sz="0" w:space="0" w:color="auto" w:frame="1"/>
        </w:rPr>
        <w:t xml:space="preserve"> app, available on iOS and Android, and sign in through SSO using your </w:t>
      </w:r>
      <w:proofErr w:type="spellStart"/>
      <w:r w:rsidRPr="00551C9F">
        <w:rPr>
          <w:rStyle w:val="Emphasis"/>
          <w:rFonts w:ascii="Calibri" w:hAnsi="Calibri" w:cs="Calibri"/>
          <w:color w:val="000000"/>
          <w:bdr w:val="none" w:sz="0" w:space="0" w:color="auto" w:frame="1"/>
        </w:rPr>
        <w:t>MyID</w:t>
      </w:r>
      <w:proofErr w:type="spellEnd"/>
      <w:r w:rsidRPr="00551C9F">
        <w:rPr>
          <w:rStyle w:val="Emphasis"/>
          <w:rFonts w:ascii="Calibri" w:hAnsi="Calibri" w:cs="Calibri"/>
          <w:color w:val="000000"/>
          <w:bdr w:val="none" w:sz="0" w:space="0" w:color="auto" w:frame="1"/>
        </w:rPr>
        <w:t>.</w:t>
      </w:r>
      <w:r w:rsidRPr="00551C9F">
        <w:rPr>
          <w:rFonts w:ascii="Calibri" w:hAnsi="Calibri" w:cs="Calibri"/>
          <w:i/>
          <w:iCs/>
          <w:color w:val="000000"/>
          <w:bdr w:val="none" w:sz="0" w:space="0" w:color="auto" w:frame="1"/>
        </w:rPr>
        <w:t> </w:t>
      </w:r>
      <w:r w:rsidRPr="00551C9F">
        <w:rPr>
          <w:rStyle w:val="Emphasis"/>
          <w:rFonts w:ascii="Calibri" w:hAnsi="Calibri" w:cs="Calibri"/>
          <w:color w:val="000000"/>
          <w:bdr w:val="none" w:sz="0" w:space="0" w:color="auto" w:frame="1"/>
        </w:rPr>
        <w:t>Need help? Visit </w:t>
      </w:r>
      <w:hyperlink r:id="rId49" w:tgtFrame="_blank" w:history="1">
        <w:r w:rsidRPr="00551C9F">
          <w:rPr>
            <w:rStyle w:val="Hyperlink"/>
            <w:rFonts w:ascii="Calibri" w:hAnsi="Calibri" w:cs="Calibri"/>
            <w:i/>
            <w:iCs/>
            <w:color w:val="000000"/>
            <w:bdr w:val="none" w:sz="0" w:space="0" w:color="auto" w:frame="1"/>
          </w:rPr>
          <w:t>our website</w:t>
        </w:r>
      </w:hyperlink>
      <w:r w:rsidRPr="00551C9F">
        <w:rPr>
          <w:rStyle w:val="Emphasis"/>
          <w:rFonts w:ascii="Calibri" w:hAnsi="Calibri" w:cs="Calibri"/>
          <w:color w:val="000000"/>
          <w:bdr w:val="none" w:sz="0" w:space="0" w:color="auto" w:frame="1"/>
        </w:rPr>
        <w:t xml:space="preserve"> for more information on how to engage with a Peer Tutor or email us at tutor@uga.edu. In addition to peer tutoring, the DAE also provides Academic Coaching, Student Success Workshops and more. The DAE is committed to the success of all students at the University of Georgia. For more on these and other resources, please visit </w:t>
      </w:r>
      <w:proofErr w:type="gramStart"/>
      <w:r w:rsidRPr="00551C9F">
        <w:rPr>
          <w:rStyle w:val="Emphasis"/>
          <w:rFonts w:ascii="Calibri" w:hAnsi="Calibri" w:cs="Calibri"/>
          <w:color w:val="000000"/>
          <w:bdr w:val="none" w:sz="0" w:space="0" w:color="auto" w:frame="1"/>
        </w:rPr>
        <w:t>dae.uga.edu</w:t>
      </w:r>
      <w:proofErr w:type="gramEnd"/>
    </w:p>
    <w:p w14:paraId="0A00DEAA" w14:textId="77777777" w:rsidR="00197D26" w:rsidRPr="00551C9F" w:rsidRDefault="00197D26" w:rsidP="00197D26">
      <w:pPr>
        <w:rPr>
          <w:rFonts w:ascii="Calibri" w:hAnsi="Calibri" w:cs="Calibri"/>
        </w:rPr>
      </w:pPr>
    </w:p>
    <w:p w14:paraId="5E6ADD0C" w14:textId="77777777" w:rsidR="008C7A00" w:rsidRPr="00551C9F" w:rsidRDefault="008C7A00" w:rsidP="008C7A00">
      <w:pPr>
        <w:pStyle w:val="ListParagraph"/>
        <w:ind w:left="2160"/>
        <w:rPr>
          <w:rFonts w:ascii="Calibri" w:hAnsi="Calibri" w:cs="Calibri"/>
        </w:rPr>
      </w:pPr>
    </w:p>
    <w:p w14:paraId="44AF0587" w14:textId="77777777" w:rsidR="00485CE9" w:rsidRPr="00551C9F" w:rsidRDefault="00485CE9" w:rsidP="00485CE9">
      <w:pPr>
        <w:rPr>
          <w:rFonts w:ascii="Calibri" w:hAnsi="Calibri" w:cs="Calibri"/>
          <w:b/>
        </w:rPr>
      </w:pPr>
    </w:p>
    <w:sectPr w:rsidR="00485CE9" w:rsidRPr="00551C9F">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BD57" w14:textId="77777777" w:rsidR="00D57ABD" w:rsidRDefault="00D57ABD" w:rsidP="004D0C11">
      <w:pPr>
        <w:spacing w:after="0" w:line="240" w:lineRule="auto"/>
      </w:pPr>
      <w:r>
        <w:separator/>
      </w:r>
    </w:p>
  </w:endnote>
  <w:endnote w:type="continuationSeparator" w:id="0">
    <w:p w14:paraId="1CD9D4AD" w14:textId="77777777" w:rsidR="00D57ABD" w:rsidRDefault="00D57ABD" w:rsidP="004D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369955"/>
      <w:docPartObj>
        <w:docPartGallery w:val="Page Numbers (Bottom of Page)"/>
        <w:docPartUnique/>
      </w:docPartObj>
    </w:sdtPr>
    <w:sdtEndPr>
      <w:rPr>
        <w:noProof/>
      </w:rPr>
    </w:sdtEndPr>
    <w:sdtContent>
      <w:p w14:paraId="50B00EB0" w14:textId="77777777" w:rsidR="00975E9F" w:rsidRDefault="00975E9F">
        <w:pPr>
          <w:pStyle w:val="Footer"/>
          <w:jc w:val="center"/>
        </w:pPr>
        <w:r>
          <w:fldChar w:fldCharType="begin"/>
        </w:r>
        <w:r>
          <w:instrText xml:space="preserve"> PAGE   \* MERGEFORMAT </w:instrText>
        </w:r>
        <w:r>
          <w:fldChar w:fldCharType="separate"/>
        </w:r>
        <w:r w:rsidR="002900C5">
          <w:rPr>
            <w:noProof/>
          </w:rPr>
          <w:t>11</w:t>
        </w:r>
        <w:r>
          <w:rPr>
            <w:noProof/>
          </w:rPr>
          <w:fldChar w:fldCharType="end"/>
        </w:r>
      </w:p>
    </w:sdtContent>
  </w:sdt>
  <w:p w14:paraId="0D304B0F" w14:textId="77777777" w:rsidR="00975E9F" w:rsidRDefault="0097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E2AA" w14:textId="77777777" w:rsidR="00D57ABD" w:rsidRDefault="00D57ABD" w:rsidP="004D0C11">
      <w:pPr>
        <w:spacing w:after="0" w:line="240" w:lineRule="auto"/>
      </w:pPr>
      <w:r>
        <w:separator/>
      </w:r>
    </w:p>
  </w:footnote>
  <w:footnote w:type="continuationSeparator" w:id="0">
    <w:p w14:paraId="3A561C05" w14:textId="77777777" w:rsidR="00D57ABD" w:rsidRDefault="00D57ABD" w:rsidP="004D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6E40" w14:textId="77777777" w:rsidR="00B7117C" w:rsidRDefault="00B7117C">
    <w:pPr>
      <w:pStyle w:val="Header"/>
      <w:rPr>
        <w:b/>
      </w:rPr>
    </w:pPr>
    <w:r>
      <w:rPr>
        <w:b/>
      </w:rPr>
      <w:t>SYLLABUS:</w:t>
    </w:r>
    <w:r>
      <w:rPr>
        <w:b/>
      </w:rPr>
      <w:tab/>
    </w:r>
    <w:r>
      <w:rPr>
        <w:b/>
      </w:rPr>
      <w:tab/>
      <w:t>OFFICE HOURS:</w:t>
    </w:r>
  </w:p>
  <w:p w14:paraId="327E6B96" w14:textId="77777777" w:rsidR="00975E9F" w:rsidRDefault="00975E9F">
    <w:pPr>
      <w:pStyle w:val="Header"/>
      <w:rPr>
        <w:b/>
      </w:rPr>
    </w:pPr>
    <w:r>
      <w:rPr>
        <w:b/>
      </w:rPr>
      <w:t>POLS 4780 – Special Topics Law – Fall 2023</w:t>
    </w:r>
    <w:r w:rsidR="00B7117C">
      <w:rPr>
        <w:b/>
      </w:rPr>
      <w:tab/>
    </w:r>
    <w:r w:rsidR="00B7117C">
      <w:rPr>
        <w:b/>
      </w:rPr>
      <w:tab/>
    </w:r>
    <w:r w:rsidR="002900C5">
      <w:t>Prior to c</w:t>
    </w:r>
    <w:r w:rsidR="00B7117C" w:rsidRPr="00B7117C">
      <w:t xml:space="preserve">lass </w:t>
    </w:r>
    <w:r w:rsidR="002900C5">
      <w:t xml:space="preserve">in MLC as </w:t>
    </w:r>
    <w:proofErr w:type="gramStart"/>
    <w:r w:rsidR="002900C5">
      <w:t>a</w:t>
    </w:r>
    <w:r w:rsidR="00B7117C" w:rsidRPr="00B7117C">
      <w:t>rranged</w:t>
    </w:r>
    <w:proofErr w:type="gramEnd"/>
  </w:p>
  <w:p w14:paraId="36F22745" w14:textId="77777777" w:rsidR="00975E9F" w:rsidRDefault="00975E9F">
    <w:pPr>
      <w:pStyle w:val="Header"/>
      <w:rPr>
        <w:b/>
      </w:rPr>
    </w:pPr>
    <w:r>
      <w:rPr>
        <w:b/>
      </w:rPr>
      <w:t>Th. 3:55-6:45PM – MLC (Miller Learning Center), RM 0275</w:t>
    </w:r>
    <w:r w:rsidR="00B7117C">
      <w:rPr>
        <w:b/>
      </w:rPr>
      <w:tab/>
    </w:r>
    <w:r w:rsidR="00B7117C" w:rsidRPr="00B7117C">
      <w:t>Email: judsonturner@jtcounsel.com</w:t>
    </w:r>
  </w:p>
  <w:p w14:paraId="02D94A60" w14:textId="77777777" w:rsidR="00975E9F" w:rsidRPr="00B7117C" w:rsidRDefault="00975E9F">
    <w:pPr>
      <w:pStyle w:val="Header"/>
    </w:pPr>
    <w:r>
      <w:rPr>
        <w:b/>
      </w:rPr>
      <w:t xml:space="preserve">Judson H. Turner </w:t>
    </w:r>
    <w:r w:rsidR="00B7117C">
      <w:rPr>
        <w:b/>
      </w:rPr>
      <w:tab/>
    </w:r>
    <w:r w:rsidR="00B7117C">
      <w:rPr>
        <w:b/>
      </w:rPr>
      <w:tab/>
    </w:r>
    <w:r w:rsidR="00B7117C">
      <w:t>Mobile: 770-468-9151</w:t>
    </w:r>
  </w:p>
  <w:p w14:paraId="65070337" w14:textId="77777777" w:rsidR="00975E9F" w:rsidRDefault="0097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0752"/>
    <w:multiLevelType w:val="hybridMultilevel"/>
    <w:tmpl w:val="E66AF3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3D89"/>
    <w:multiLevelType w:val="hybridMultilevel"/>
    <w:tmpl w:val="21C0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64C2"/>
    <w:multiLevelType w:val="hybridMultilevel"/>
    <w:tmpl w:val="5AD03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00B3"/>
    <w:multiLevelType w:val="hybridMultilevel"/>
    <w:tmpl w:val="E4C868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AA3894"/>
    <w:multiLevelType w:val="hybridMultilevel"/>
    <w:tmpl w:val="6B46B9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15616"/>
    <w:multiLevelType w:val="hybridMultilevel"/>
    <w:tmpl w:val="ABB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41233"/>
    <w:multiLevelType w:val="hybridMultilevel"/>
    <w:tmpl w:val="BA8C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F69ED"/>
    <w:multiLevelType w:val="hybridMultilevel"/>
    <w:tmpl w:val="C9F0A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7B64"/>
    <w:multiLevelType w:val="hybridMultilevel"/>
    <w:tmpl w:val="E96EC1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12E20"/>
    <w:multiLevelType w:val="hybridMultilevel"/>
    <w:tmpl w:val="CF40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F364D"/>
    <w:multiLevelType w:val="hybridMultilevel"/>
    <w:tmpl w:val="C3566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B5666"/>
    <w:multiLevelType w:val="hybridMultilevel"/>
    <w:tmpl w:val="B678B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464EC"/>
    <w:multiLevelType w:val="hybridMultilevel"/>
    <w:tmpl w:val="34B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4600"/>
    <w:multiLevelType w:val="hybridMultilevel"/>
    <w:tmpl w:val="37BED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B1BBB"/>
    <w:multiLevelType w:val="hybridMultilevel"/>
    <w:tmpl w:val="303C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D2D"/>
    <w:multiLevelType w:val="hybridMultilevel"/>
    <w:tmpl w:val="05945D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476987"/>
    <w:multiLevelType w:val="hybridMultilevel"/>
    <w:tmpl w:val="51500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57418"/>
    <w:multiLevelType w:val="hybridMultilevel"/>
    <w:tmpl w:val="09FC50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F6459"/>
    <w:multiLevelType w:val="hybridMultilevel"/>
    <w:tmpl w:val="CD00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06AC3"/>
    <w:multiLevelType w:val="hybridMultilevel"/>
    <w:tmpl w:val="A9968C3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74C209C5"/>
    <w:multiLevelType w:val="hybridMultilevel"/>
    <w:tmpl w:val="CDC2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735495">
    <w:abstractNumId w:val="6"/>
  </w:num>
  <w:num w:numId="2" w16cid:durableId="642466593">
    <w:abstractNumId w:val="20"/>
  </w:num>
  <w:num w:numId="3" w16cid:durableId="1857647033">
    <w:abstractNumId w:val="19"/>
  </w:num>
  <w:num w:numId="4" w16cid:durableId="1757021036">
    <w:abstractNumId w:val="18"/>
  </w:num>
  <w:num w:numId="5" w16cid:durableId="2038963188">
    <w:abstractNumId w:val="14"/>
  </w:num>
  <w:num w:numId="6" w16cid:durableId="1346634992">
    <w:abstractNumId w:val="9"/>
  </w:num>
  <w:num w:numId="7" w16cid:durableId="979503875">
    <w:abstractNumId w:val="12"/>
  </w:num>
  <w:num w:numId="8" w16cid:durableId="1971859741">
    <w:abstractNumId w:val="1"/>
  </w:num>
  <w:num w:numId="9" w16cid:durableId="1366714703">
    <w:abstractNumId w:val="11"/>
  </w:num>
  <w:num w:numId="10" w16cid:durableId="222303236">
    <w:abstractNumId w:val="10"/>
  </w:num>
  <w:num w:numId="11" w16cid:durableId="1413546449">
    <w:abstractNumId w:val="2"/>
  </w:num>
  <w:num w:numId="12" w16cid:durableId="824855296">
    <w:abstractNumId w:val="0"/>
  </w:num>
  <w:num w:numId="13" w16cid:durableId="502670454">
    <w:abstractNumId w:val="3"/>
  </w:num>
  <w:num w:numId="14" w16cid:durableId="259262879">
    <w:abstractNumId w:val="4"/>
  </w:num>
  <w:num w:numId="15" w16cid:durableId="151524832">
    <w:abstractNumId w:val="13"/>
  </w:num>
  <w:num w:numId="16" w16cid:durableId="1526596194">
    <w:abstractNumId w:val="5"/>
  </w:num>
  <w:num w:numId="17" w16cid:durableId="2014069105">
    <w:abstractNumId w:val="17"/>
  </w:num>
  <w:num w:numId="18" w16cid:durableId="967277843">
    <w:abstractNumId w:val="15"/>
  </w:num>
  <w:num w:numId="19" w16cid:durableId="192500154">
    <w:abstractNumId w:val="7"/>
  </w:num>
  <w:num w:numId="20" w16cid:durableId="1742370120">
    <w:abstractNumId w:val="16"/>
  </w:num>
  <w:num w:numId="21" w16cid:durableId="1479497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FB"/>
    <w:rsid w:val="000A0010"/>
    <w:rsid w:val="000C0E09"/>
    <w:rsid w:val="00172A2C"/>
    <w:rsid w:val="00197D26"/>
    <w:rsid w:val="001A5775"/>
    <w:rsid w:val="001E6481"/>
    <w:rsid w:val="001F2BBF"/>
    <w:rsid w:val="00221B07"/>
    <w:rsid w:val="002900C5"/>
    <w:rsid w:val="00291CA6"/>
    <w:rsid w:val="002F700F"/>
    <w:rsid w:val="003014B1"/>
    <w:rsid w:val="00390A8B"/>
    <w:rsid w:val="0039679F"/>
    <w:rsid w:val="003E1036"/>
    <w:rsid w:val="00485CE9"/>
    <w:rsid w:val="004A4629"/>
    <w:rsid w:val="004D0C11"/>
    <w:rsid w:val="004E1E1C"/>
    <w:rsid w:val="004F1551"/>
    <w:rsid w:val="005235FB"/>
    <w:rsid w:val="00540FFE"/>
    <w:rsid w:val="00547176"/>
    <w:rsid w:val="00551C9F"/>
    <w:rsid w:val="005648B2"/>
    <w:rsid w:val="005671CF"/>
    <w:rsid w:val="005762A0"/>
    <w:rsid w:val="005962CB"/>
    <w:rsid w:val="005F5916"/>
    <w:rsid w:val="0068403C"/>
    <w:rsid w:val="00693FD6"/>
    <w:rsid w:val="006D6FCB"/>
    <w:rsid w:val="006D7F43"/>
    <w:rsid w:val="00724900"/>
    <w:rsid w:val="00761897"/>
    <w:rsid w:val="007760D5"/>
    <w:rsid w:val="007E64C7"/>
    <w:rsid w:val="007E68F4"/>
    <w:rsid w:val="008A3FE9"/>
    <w:rsid w:val="008A7624"/>
    <w:rsid w:val="008C7A00"/>
    <w:rsid w:val="008D0065"/>
    <w:rsid w:val="008E2046"/>
    <w:rsid w:val="0091776F"/>
    <w:rsid w:val="00975E9F"/>
    <w:rsid w:val="00981B50"/>
    <w:rsid w:val="00983432"/>
    <w:rsid w:val="009843D9"/>
    <w:rsid w:val="009C5CC0"/>
    <w:rsid w:val="009E43E2"/>
    <w:rsid w:val="009E7477"/>
    <w:rsid w:val="00A030D1"/>
    <w:rsid w:val="00A67768"/>
    <w:rsid w:val="00A73C85"/>
    <w:rsid w:val="00A87895"/>
    <w:rsid w:val="00AC3F0B"/>
    <w:rsid w:val="00AF628F"/>
    <w:rsid w:val="00B05F61"/>
    <w:rsid w:val="00B7117C"/>
    <w:rsid w:val="00B771EC"/>
    <w:rsid w:val="00BB01EB"/>
    <w:rsid w:val="00BB66A6"/>
    <w:rsid w:val="00BE2B3C"/>
    <w:rsid w:val="00C15EC0"/>
    <w:rsid w:val="00C87571"/>
    <w:rsid w:val="00CE2419"/>
    <w:rsid w:val="00CE57BA"/>
    <w:rsid w:val="00D17B1F"/>
    <w:rsid w:val="00D21AAC"/>
    <w:rsid w:val="00D22121"/>
    <w:rsid w:val="00D225C0"/>
    <w:rsid w:val="00D53AA8"/>
    <w:rsid w:val="00D57ABD"/>
    <w:rsid w:val="00D96525"/>
    <w:rsid w:val="00E86237"/>
    <w:rsid w:val="00EC0361"/>
    <w:rsid w:val="00F20706"/>
    <w:rsid w:val="00F4788C"/>
    <w:rsid w:val="00FB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80EB"/>
  <w15:chartTrackingRefBased/>
  <w15:docId w15:val="{6840D244-59DA-43A8-B98B-F60BFEC8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5FB"/>
    <w:pPr>
      <w:ind w:left="720"/>
      <w:contextualSpacing/>
    </w:pPr>
  </w:style>
  <w:style w:type="paragraph" w:styleId="Header">
    <w:name w:val="header"/>
    <w:basedOn w:val="Normal"/>
    <w:link w:val="HeaderChar"/>
    <w:uiPriority w:val="99"/>
    <w:unhideWhenUsed/>
    <w:rsid w:val="004D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11"/>
  </w:style>
  <w:style w:type="paragraph" w:styleId="Footer">
    <w:name w:val="footer"/>
    <w:basedOn w:val="Normal"/>
    <w:link w:val="FooterChar"/>
    <w:uiPriority w:val="99"/>
    <w:unhideWhenUsed/>
    <w:rsid w:val="004D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11"/>
  </w:style>
  <w:style w:type="paragraph" w:styleId="BalloonText">
    <w:name w:val="Balloon Text"/>
    <w:basedOn w:val="Normal"/>
    <w:link w:val="BalloonTextChar"/>
    <w:uiPriority w:val="99"/>
    <w:semiHidden/>
    <w:unhideWhenUsed/>
    <w:rsid w:val="00724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900"/>
    <w:rPr>
      <w:rFonts w:ascii="Segoe UI" w:hAnsi="Segoe UI" w:cs="Segoe UI"/>
      <w:sz w:val="18"/>
      <w:szCs w:val="18"/>
    </w:rPr>
  </w:style>
  <w:style w:type="character" w:styleId="Hyperlink">
    <w:name w:val="Hyperlink"/>
    <w:basedOn w:val="DefaultParagraphFont"/>
    <w:uiPriority w:val="99"/>
    <w:unhideWhenUsed/>
    <w:rsid w:val="00693FD6"/>
    <w:rPr>
      <w:color w:val="0563C1" w:themeColor="hyperlink"/>
      <w:u w:val="single"/>
    </w:rPr>
  </w:style>
  <w:style w:type="character" w:styleId="FollowedHyperlink">
    <w:name w:val="FollowedHyperlink"/>
    <w:basedOn w:val="DefaultParagraphFont"/>
    <w:uiPriority w:val="99"/>
    <w:semiHidden/>
    <w:unhideWhenUsed/>
    <w:rsid w:val="00A87895"/>
    <w:rPr>
      <w:color w:val="954F72" w:themeColor="followedHyperlink"/>
      <w:u w:val="single"/>
    </w:rPr>
  </w:style>
  <w:style w:type="character" w:styleId="Emphasis">
    <w:name w:val="Emphasis"/>
    <w:basedOn w:val="DefaultParagraphFont"/>
    <w:uiPriority w:val="20"/>
    <w:qFormat/>
    <w:rsid w:val="00197D26"/>
    <w:rPr>
      <w:i/>
      <w:iCs/>
    </w:rPr>
  </w:style>
  <w:style w:type="paragraph" w:customStyle="1" w:styleId="xmsonormal">
    <w:name w:val="x_msonormal"/>
    <w:basedOn w:val="Normal"/>
    <w:rsid w:val="00197D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rplanning.georgia.gov" TargetMode="External"/><Relationship Id="rId18" Type="http://schemas.openxmlformats.org/officeDocument/2006/relationships/hyperlink" Target="https://epd.georgia.gov/georgia-river-basin-management-planning/georgia-flint-river-basin-plan" TargetMode="External"/><Relationship Id="rId26" Type="http://schemas.openxmlformats.org/officeDocument/2006/relationships/hyperlink" Target="https://supreme.justia.com/cases/federal/us/417/270/" TargetMode="External"/><Relationship Id="rId39" Type="http://schemas.openxmlformats.org/officeDocument/2006/relationships/hyperlink" Target="https://www.supremecourt.gov/DocketPDF/22/22O142/125423/20191213102743287_142%20Original%20SM%20Report.pdf" TargetMode="External"/><Relationship Id="rId21" Type="http://schemas.openxmlformats.org/officeDocument/2006/relationships/hyperlink" Target="https://supreme.justia.com/cases/federal/us/259/419/" TargetMode="External"/><Relationship Id="rId34" Type="http://schemas.openxmlformats.org/officeDocument/2006/relationships/hyperlink" Target="https://www.supremecourt.gov/specmastrpt/orig138_112808.pdf" TargetMode="External"/><Relationship Id="rId42" Type="http://schemas.openxmlformats.org/officeDocument/2006/relationships/hyperlink" Target="http://drc.uga.edu/" TargetMode="External"/><Relationship Id="rId47" Type="http://schemas.openxmlformats.org/officeDocument/2006/relationships/hyperlink" Target="https://www.uhs.uga.edu/info/emergencie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orymaps.arcgis.com/stories/67b7b29771b842268f878b94cb7c6d69" TargetMode="External"/><Relationship Id="rId29" Type="http://schemas.openxmlformats.org/officeDocument/2006/relationships/hyperlink" Target="https://caselaw.findlaw.com/court/us-supreme-court/462/1017.html" TargetMode="External"/><Relationship Id="rId11" Type="http://schemas.openxmlformats.org/officeDocument/2006/relationships/hyperlink" Target="https://casetext.com/statute/code-of-georgia/title-12-conservation-and-natural-resources/chapter-5-water-resources/article-10-metropolitan-north-georgia-water-planning-district-act" TargetMode="External"/><Relationship Id="rId24" Type="http://schemas.openxmlformats.org/officeDocument/2006/relationships/hyperlink" Target="https://supreme.justia.com/cases/federal/us/325/589/" TargetMode="External"/><Relationship Id="rId32" Type="http://schemas.openxmlformats.org/officeDocument/2006/relationships/hyperlink" Target="https://supreme.justia.com/cases/federal/us/530/392/case.pdf" TargetMode="External"/><Relationship Id="rId37" Type="http://schemas.openxmlformats.org/officeDocument/2006/relationships/hyperlink" Target="https://www.scotusblog.com/wp-content/uploads/2017/09/2017.02.14-Report-of-Special-Master.pdf" TargetMode="External"/><Relationship Id="rId40" Type="http://schemas.openxmlformats.org/officeDocument/2006/relationships/hyperlink" Target="https://www.supremecourt.gov/opinions/20pdf/22o142_m648.pdf" TargetMode="External"/><Relationship Id="rId45" Type="http://schemas.openxmlformats.org/officeDocument/2006/relationships/hyperlink" Target="https://sco.uga.ed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rchives.gov/milestone-documents/gibbons-v-ogden" TargetMode="External"/><Relationship Id="rId19" Type="http://schemas.openxmlformats.org/officeDocument/2006/relationships/hyperlink" Target="https://www.congress.gov/bill/105th-congress/house-joint-resolution/91/text" TargetMode="External"/><Relationship Id="rId31" Type="http://schemas.openxmlformats.org/officeDocument/2006/relationships/hyperlink" Target="https://supreme.justia.com/cases/federal/us/515/1/case.pdf" TargetMode="External"/><Relationship Id="rId44" Type="http://schemas.openxmlformats.org/officeDocument/2006/relationships/hyperlink" Target="https://ovpi.uga.edu/academic-honesty/academic-honesty-policy"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uides.loc.gov/federalist-papers/text-11-20" TargetMode="External"/><Relationship Id="rId14" Type="http://schemas.openxmlformats.org/officeDocument/2006/relationships/hyperlink" Target="https://casetext.com/statute/code-of-georgia/title-12-conservation-and-natural-resources/chapter-5-water-resources/article-8-comprehensive-state-wide-water-management-planning-act" TargetMode="External"/><Relationship Id="rId22" Type="http://schemas.openxmlformats.org/officeDocument/2006/relationships/hyperlink" Target="https://supreme.justia.com/cases/federal/us/283/336/" TargetMode="External"/><Relationship Id="rId27" Type="http://schemas.openxmlformats.org/officeDocument/2006/relationships/hyperlink" Target="https://supreme.justia.com/cases/federal/us/444/380/" TargetMode="External"/><Relationship Id="rId30" Type="http://schemas.openxmlformats.org/officeDocument/2006/relationships/hyperlink" Target="https://supreme.justia.com/cases/federal/us/467/310/" TargetMode="External"/><Relationship Id="rId35" Type="http://schemas.openxmlformats.org/officeDocument/2006/relationships/hyperlink" Target="https://www.supremecourt.gov/opinions/21pdf/143orig_1qm1.pdf" TargetMode="External"/><Relationship Id="rId43" Type="http://schemas.openxmlformats.org/officeDocument/2006/relationships/hyperlink" Target="http://www.reg.uga.edu/policies/withdrawals" TargetMode="External"/><Relationship Id="rId48" Type="http://schemas.openxmlformats.org/officeDocument/2006/relationships/hyperlink" Target="https://www.uhs.uga.edu/bewelluga/bewelluga" TargetMode="External"/><Relationship Id="rId8" Type="http://schemas.openxmlformats.org/officeDocument/2006/relationships/hyperlink" Target="https://guides.loc.gov/federalist-papers/text-1-10"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casetext.com/statute/code-of-georgia/title-12-conservation-and-natural-resources/chapter-5-water-resources/article-8-comprehensive-state-wide-water-management-planning-act" TargetMode="External"/><Relationship Id="rId17" Type="http://schemas.openxmlformats.org/officeDocument/2006/relationships/hyperlink" Target="https://casetext.com/case/aransas-project-v-shaw-3" TargetMode="External"/><Relationship Id="rId25" Type="http://schemas.openxmlformats.org/officeDocument/2006/relationships/hyperlink" Target="https://supreme.justia.com/cases/federal/us/373/546/" TargetMode="External"/><Relationship Id="rId33" Type="http://schemas.openxmlformats.org/officeDocument/2006/relationships/hyperlink" Target="https://supreme.justia.com/cases/federal/us/574/126orig/case.pdf" TargetMode="External"/><Relationship Id="rId38" Type="http://schemas.openxmlformats.org/officeDocument/2006/relationships/hyperlink" Target="https://www.ca10.uscourts.gov/sites/ca10/files/SM142/Docket_637_FL_v._GA_%28_-_US_Supreme_Court_Opinion%2C_06-27-2018.pdf" TargetMode="External"/><Relationship Id="rId46" Type="http://schemas.openxmlformats.org/officeDocument/2006/relationships/hyperlink" Target="https://www.uhs.uga.edu/bewelluga/bewelluga" TargetMode="External"/><Relationship Id="rId20" Type="http://schemas.openxmlformats.org/officeDocument/2006/relationships/hyperlink" Target="https://www.acfstakeholders.org/_files/ugd/f8e0c1_50131a17d65a427ba277021282819926.pdf" TargetMode="External"/><Relationship Id="rId41" Type="http://schemas.openxmlformats.org/officeDocument/2006/relationships/hyperlink" Target="https://uga.view.usg.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m.usace.army.mil/Portals/46/docs/planning_environmental/acf/docs/01_ACF_FEIS_Dec%202016_Volume%201.pdf?ver=2016-12-07-164912-723" TargetMode="External"/><Relationship Id="rId23" Type="http://schemas.openxmlformats.org/officeDocument/2006/relationships/hyperlink" Target="https://supreme.justia.com/cases/federal/us/282/660/" TargetMode="External"/><Relationship Id="rId28" Type="http://schemas.openxmlformats.org/officeDocument/2006/relationships/hyperlink" Target="https://supreme.justia.com/cases/federal/us/459/176/" TargetMode="External"/><Relationship Id="rId36" Type="http://schemas.openxmlformats.org/officeDocument/2006/relationships/hyperlink" Target="https://www.ca10.uscourts.gov/sites/ca10/files/SM142/48.pdf" TargetMode="External"/><Relationship Id="rId49" Type="http://schemas.openxmlformats.org/officeDocument/2006/relationships/hyperlink" Target="https://proxy.qualtrics.com/proxy/?url=http%3A%2F%2Fdae.uga.edu%2Fservices%2Ftutoring%2F&amp;token=xDlOlpHDRBA5S7WIR1h3J2wZDFpc4Oj5oReZHWxCoUc%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B6B8-281E-435A-ABEE-965F995C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Gilbert Harrell Sumerford &amp; Martin</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 Turner</dc:creator>
  <cp:keywords/>
  <dc:description/>
  <cp:lastModifiedBy>Edward Keaton Boney</cp:lastModifiedBy>
  <cp:revision>2</cp:revision>
  <cp:lastPrinted>2023-07-18T22:30:00Z</cp:lastPrinted>
  <dcterms:created xsi:type="dcterms:W3CDTF">2023-08-09T12:43:00Z</dcterms:created>
  <dcterms:modified xsi:type="dcterms:W3CDTF">2023-08-09T12:43:00Z</dcterms:modified>
</cp:coreProperties>
</file>