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14A630AD" w:rsidR="0017759C" w:rsidRDefault="00D4465A" w:rsidP="00D4465A">
            <w:pPr>
              <w:jc w:val="center"/>
            </w:pPr>
            <w:bookmarkStart w:id="0" w:name="_GoBack"/>
            <w:bookmarkEnd w:id="0"/>
            <w:r>
              <w:rPr>
                <w:noProof/>
              </w:rPr>
              <w:drawing>
                <wp:inline distT="0" distB="0" distL="0" distR="0" wp14:anchorId="46A622AE" wp14:editId="6E8D5223">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gridSpan w:val="2"/>
            <w:shd w:val="clear" w:color="auto" w:fill="auto"/>
            <w:vAlign w:val="center"/>
          </w:tcPr>
          <w:p w14:paraId="20307DB8" w14:textId="7CE8F039" w:rsidR="0017759C" w:rsidRPr="00C2322F" w:rsidRDefault="00DE078E" w:rsidP="0017759C">
            <w:pPr>
              <w:rPr>
                <w:rFonts w:ascii="Arial" w:hAnsi="Arial" w:cs="Arial"/>
                <w:sz w:val="20"/>
              </w:rPr>
            </w:pPr>
            <w:r>
              <w:rPr>
                <w:rFonts w:ascii="Arial" w:hAnsi="Arial" w:cs="Arial"/>
                <w:sz w:val="20"/>
              </w:rPr>
              <w:t xml:space="preserve">POLS </w:t>
            </w:r>
            <w:r w:rsidR="00C820FA">
              <w:rPr>
                <w:rFonts w:ascii="Arial" w:hAnsi="Arial" w:cs="Arial"/>
                <w:sz w:val="20"/>
              </w:rPr>
              <w:t>4710</w:t>
            </w:r>
            <w:r w:rsidR="00182D32">
              <w:rPr>
                <w:rFonts w:ascii="Arial" w:hAnsi="Arial" w:cs="Arial"/>
                <w:sz w:val="20"/>
              </w:rPr>
              <w:t>E</w:t>
            </w:r>
          </w:p>
        </w:tc>
        <w:tc>
          <w:tcPr>
            <w:tcW w:w="6840" w:type="dxa"/>
            <w:gridSpan w:val="2"/>
            <w:shd w:val="clear" w:color="auto" w:fill="auto"/>
            <w:vAlign w:val="center"/>
          </w:tcPr>
          <w:p w14:paraId="7F53C831" w14:textId="7686E4D3" w:rsidR="0017759C" w:rsidRPr="00C2322F" w:rsidRDefault="00D76428" w:rsidP="00445816">
            <w:pPr>
              <w:jc w:val="right"/>
              <w:rPr>
                <w:rFonts w:ascii="Arial" w:hAnsi="Arial" w:cs="Arial"/>
                <w:sz w:val="20"/>
              </w:rPr>
            </w:pPr>
            <w:r>
              <w:rPr>
                <w:rFonts w:ascii="Arial" w:hAnsi="Arial" w:cs="Arial"/>
                <w:sz w:val="20"/>
              </w:rPr>
              <w:t xml:space="preserve"> </w:t>
            </w:r>
            <w:r w:rsidR="00C820FA" w:rsidRPr="00C820FA">
              <w:rPr>
                <w:rFonts w:ascii="Arial" w:hAnsi="Arial" w:cs="Arial"/>
                <w:sz w:val="20"/>
              </w:rPr>
              <w:t>Constitutional Law: Rights and Liberties</w:t>
            </w:r>
          </w:p>
        </w:tc>
      </w:tr>
      <w:tr w:rsidR="0017759C" w14:paraId="779490EE" w14:textId="77777777" w:rsidTr="00D76428">
        <w:trPr>
          <w:trHeight w:val="288"/>
        </w:trPr>
        <w:tc>
          <w:tcPr>
            <w:tcW w:w="3500" w:type="dxa"/>
            <w:gridSpan w:val="2"/>
            <w:shd w:val="clear" w:color="auto" w:fill="auto"/>
            <w:vAlign w:val="center"/>
          </w:tcPr>
          <w:p w14:paraId="0278121C" w14:textId="1CE23A44" w:rsidR="0017759C" w:rsidRPr="00C2322F" w:rsidRDefault="00182D32" w:rsidP="0017759C">
            <w:pPr>
              <w:rPr>
                <w:rFonts w:ascii="Arial" w:hAnsi="Arial" w:cs="Arial"/>
                <w:sz w:val="20"/>
              </w:rPr>
            </w:pPr>
            <w:r>
              <w:rPr>
                <w:rFonts w:ascii="Arial" w:hAnsi="Arial" w:cs="Arial"/>
                <w:sz w:val="20"/>
              </w:rPr>
              <w:t>Summer</w:t>
            </w:r>
            <w:r w:rsidR="00C820FA">
              <w:rPr>
                <w:rFonts w:ascii="Arial" w:hAnsi="Arial" w:cs="Arial"/>
                <w:sz w:val="20"/>
              </w:rPr>
              <w:t xml:space="preserve"> 2022</w:t>
            </w:r>
          </w:p>
        </w:tc>
        <w:tc>
          <w:tcPr>
            <w:tcW w:w="6840" w:type="dxa"/>
            <w:gridSpan w:val="2"/>
            <w:shd w:val="clear" w:color="auto" w:fill="auto"/>
          </w:tcPr>
          <w:p w14:paraId="535B7B43" w14:textId="627322D9" w:rsidR="0017759C" w:rsidRPr="00C2322F" w:rsidRDefault="000463E9" w:rsidP="000463E9">
            <w:pPr>
              <w:jc w:val="right"/>
              <w:rPr>
                <w:rFonts w:ascii="Arial" w:hAnsi="Arial" w:cs="Arial"/>
                <w:sz w:val="20"/>
              </w:rPr>
            </w:pPr>
            <w:r>
              <w:rPr>
                <w:rFonts w:ascii="Arial" w:hAnsi="Arial" w:cs="Arial"/>
                <w:sz w:val="20"/>
              </w:rPr>
              <w:t>M</w:t>
            </w:r>
            <w:r w:rsidR="00AD1A7F">
              <w:rPr>
                <w:rFonts w:ascii="Arial" w:hAnsi="Arial" w:cs="Arial"/>
                <w:sz w:val="20"/>
              </w:rPr>
              <w:t>T</w:t>
            </w:r>
            <w:r>
              <w:rPr>
                <w:rFonts w:ascii="Arial" w:hAnsi="Arial" w:cs="Arial"/>
                <w:sz w:val="20"/>
              </w:rPr>
              <w:t>W</w:t>
            </w:r>
            <w:r w:rsidR="00AD1A7F">
              <w:rPr>
                <w:rFonts w:ascii="Arial" w:hAnsi="Arial" w:cs="Arial"/>
                <w:sz w:val="20"/>
              </w:rPr>
              <w:t>R</w:t>
            </w:r>
            <w:r>
              <w:rPr>
                <w:rFonts w:ascii="Arial" w:hAnsi="Arial" w:cs="Arial"/>
                <w:sz w:val="20"/>
              </w:rPr>
              <w:t xml:space="preserve">F </w:t>
            </w:r>
            <w:r w:rsidR="00182D32">
              <w:rPr>
                <w:rFonts w:ascii="Arial" w:hAnsi="Arial" w:cs="Arial"/>
                <w:sz w:val="20"/>
              </w:rPr>
              <w:t>9</w:t>
            </w:r>
            <w:r w:rsidR="00C820FA" w:rsidRPr="00C820FA">
              <w:rPr>
                <w:rFonts w:ascii="Arial" w:hAnsi="Arial" w:cs="Arial"/>
                <w:sz w:val="20"/>
              </w:rPr>
              <w:t>:</w:t>
            </w:r>
            <w:r w:rsidR="00182D32">
              <w:rPr>
                <w:rFonts w:ascii="Arial" w:hAnsi="Arial" w:cs="Arial"/>
                <w:sz w:val="20"/>
              </w:rPr>
              <w:t>45</w:t>
            </w:r>
            <w:r w:rsidR="00C820FA" w:rsidRPr="00C820FA">
              <w:rPr>
                <w:rFonts w:ascii="Arial" w:hAnsi="Arial" w:cs="Arial"/>
                <w:sz w:val="20"/>
              </w:rPr>
              <w:t>am-12:</w:t>
            </w:r>
            <w:r w:rsidR="00182D32">
              <w:rPr>
                <w:rFonts w:ascii="Arial" w:hAnsi="Arial" w:cs="Arial"/>
                <w:sz w:val="20"/>
              </w:rPr>
              <w:t>0</w:t>
            </w:r>
            <w:r w:rsidR="00C820FA" w:rsidRPr="00C820FA">
              <w:rPr>
                <w:rFonts w:ascii="Arial" w:hAnsi="Arial" w:cs="Arial"/>
                <w:sz w:val="20"/>
              </w:rPr>
              <w:t>0pm</w:t>
            </w:r>
          </w:p>
        </w:tc>
      </w:tr>
      <w:tr w:rsidR="0017759C" w14:paraId="117C81B9" w14:textId="77777777" w:rsidTr="00D76428">
        <w:trPr>
          <w:trHeight w:val="288"/>
        </w:trPr>
        <w:tc>
          <w:tcPr>
            <w:tcW w:w="3500" w:type="dxa"/>
            <w:gridSpan w:val="2"/>
            <w:shd w:val="clear" w:color="auto" w:fill="auto"/>
            <w:vAlign w:val="center"/>
          </w:tcPr>
          <w:p w14:paraId="1988F845" w14:textId="6A06DE5E" w:rsidR="0017759C" w:rsidRPr="00C2322F" w:rsidRDefault="00182D32" w:rsidP="007C3BCB">
            <w:pPr>
              <w:rPr>
                <w:rFonts w:ascii="Arial" w:hAnsi="Arial" w:cs="Arial"/>
                <w:sz w:val="20"/>
              </w:rPr>
            </w:pPr>
            <w:r>
              <w:rPr>
                <w:rFonts w:ascii="Arial" w:hAnsi="Arial" w:cs="Arial"/>
                <w:sz w:val="20"/>
              </w:rPr>
              <w:t>Zoom</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4"/>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4"/>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4"/>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4"/>
            <w:shd w:val="clear" w:color="auto" w:fill="auto"/>
          </w:tcPr>
          <w:p w14:paraId="36870045" w14:textId="2F0A863B" w:rsidR="008C6CBC" w:rsidRPr="00C2322F" w:rsidRDefault="00D4465A" w:rsidP="009F263F">
            <w:pPr>
              <w:rPr>
                <w:rFonts w:ascii="Arial" w:hAnsi="Arial" w:cs="Arial"/>
                <w:sz w:val="20"/>
                <w:szCs w:val="20"/>
              </w:rPr>
            </w:pPr>
            <w:r w:rsidRPr="00D4465A">
              <w:rPr>
                <w:rFonts w:ascii="Arial" w:hAnsi="Arial" w:cs="Arial"/>
                <w:sz w:val="20"/>
                <w:szCs w:val="20"/>
                <w:lang w:val="en"/>
              </w:rPr>
              <w:t>Individual rights and liberties, with emphasis on the First Amendment, other parts of the Bill of Rights, and the Fourteenth Amendment.</w:t>
            </w:r>
          </w:p>
        </w:tc>
      </w:tr>
      <w:tr w:rsidR="006A74A2" w:rsidRPr="00C2322F" w14:paraId="6D97A2B5" w14:textId="77777777" w:rsidTr="00D76428">
        <w:tc>
          <w:tcPr>
            <w:tcW w:w="10340" w:type="dxa"/>
            <w:gridSpan w:val="4"/>
            <w:shd w:val="clear" w:color="auto" w:fill="auto"/>
          </w:tcPr>
          <w:p w14:paraId="5CEC3AC6" w14:textId="77777777" w:rsidR="006A74A2" w:rsidRPr="00C2322F" w:rsidRDefault="006A74A2" w:rsidP="006F1AEA">
            <w:pPr>
              <w:rPr>
                <w:rFonts w:ascii="Arial" w:hAnsi="Arial" w:cs="Arial"/>
                <w:sz w:val="20"/>
              </w:rPr>
            </w:pPr>
          </w:p>
        </w:tc>
      </w:tr>
      <w:tr w:rsidR="006A74A2" w:rsidRPr="00C2322F" w14:paraId="460A8B96" w14:textId="77777777" w:rsidTr="00D76428">
        <w:tc>
          <w:tcPr>
            <w:tcW w:w="10340" w:type="dxa"/>
            <w:gridSpan w:val="4"/>
            <w:shd w:val="clear" w:color="auto" w:fill="auto"/>
            <w:vAlign w:val="center"/>
          </w:tcPr>
          <w:p w14:paraId="6D49DF5B"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32052D46" w14:textId="77777777" w:rsidTr="00D76428">
        <w:trPr>
          <w:trHeight w:val="89"/>
        </w:trPr>
        <w:tc>
          <w:tcPr>
            <w:tcW w:w="10340" w:type="dxa"/>
            <w:gridSpan w:val="4"/>
            <w:shd w:val="clear" w:color="auto" w:fill="auto"/>
          </w:tcPr>
          <w:p w14:paraId="1D99D821" w14:textId="77777777" w:rsidR="006A74A2" w:rsidRPr="00C2322F" w:rsidRDefault="006A74A2" w:rsidP="006F1AEA">
            <w:pPr>
              <w:rPr>
                <w:rFonts w:ascii="Arial" w:hAnsi="Arial" w:cs="Arial"/>
                <w:sz w:val="10"/>
              </w:rPr>
            </w:pPr>
          </w:p>
        </w:tc>
      </w:tr>
      <w:tr w:rsidR="006A74A2" w:rsidRPr="00C2322F" w14:paraId="57E6C56E" w14:textId="77777777" w:rsidTr="00D76428">
        <w:tc>
          <w:tcPr>
            <w:tcW w:w="10340" w:type="dxa"/>
            <w:gridSpan w:val="4"/>
            <w:shd w:val="clear" w:color="auto" w:fill="auto"/>
          </w:tcPr>
          <w:p w14:paraId="0BA6B49E" w14:textId="77777777" w:rsidR="00632965" w:rsidRDefault="00632965" w:rsidP="006F1AEA">
            <w:pPr>
              <w:rPr>
                <w:rFonts w:ascii="Arial" w:hAnsi="Arial" w:cs="Arial"/>
                <w:sz w:val="20"/>
              </w:rPr>
            </w:pPr>
            <w:r>
              <w:rPr>
                <w:rFonts w:ascii="Arial" w:hAnsi="Arial" w:cs="Arial"/>
                <w:sz w:val="20"/>
              </w:rPr>
              <w:t>Students will be able to:</w:t>
            </w:r>
          </w:p>
          <w:p w14:paraId="156BD13E" w14:textId="77777777" w:rsidR="00632965" w:rsidRDefault="00445816" w:rsidP="006F1AEA">
            <w:pPr>
              <w:rPr>
                <w:rFonts w:ascii="Arial" w:hAnsi="Arial" w:cs="Arial"/>
                <w:sz w:val="20"/>
              </w:rPr>
            </w:pPr>
            <w:r>
              <w:rPr>
                <w:rFonts w:ascii="Arial" w:hAnsi="Arial" w:cs="Arial"/>
                <w:sz w:val="20"/>
              </w:rPr>
              <w:t>Read and summarize Supreme Court opinions</w:t>
            </w:r>
            <w:r w:rsidR="0030321B">
              <w:rPr>
                <w:rFonts w:ascii="Arial" w:hAnsi="Arial" w:cs="Arial"/>
                <w:sz w:val="20"/>
              </w:rPr>
              <w:t xml:space="preserve"> on constitutional law</w:t>
            </w:r>
          </w:p>
          <w:p w14:paraId="6446E1B5" w14:textId="77777777" w:rsidR="006A74A2" w:rsidRDefault="00445816" w:rsidP="00445816">
            <w:pPr>
              <w:rPr>
                <w:rFonts w:ascii="Arial" w:hAnsi="Arial" w:cs="Arial"/>
                <w:sz w:val="20"/>
              </w:rPr>
            </w:pPr>
            <w:r>
              <w:rPr>
                <w:rFonts w:ascii="Arial" w:hAnsi="Arial" w:cs="Arial"/>
                <w:sz w:val="20"/>
              </w:rPr>
              <w:t xml:space="preserve">Understand </w:t>
            </w:r>
            <w:r w:rsidR="0030321B">
              <w:rPr>
                <w:rFonts w:ascii="Arial" w:hAnsi="Arial" w:cs="Arial"/>
                <w:sz w:val="20"/>
              </w:rPr>
              <w:t>historical development</w:t>
            </w:r>
            <w:r w:rsidRPr="00445816">
              <w:rPr>
                <w:rFonts w:ascii="Arial" w:hAnsi="Arial" w:cs="Arial"/>
                <w:sz w:val="20"/>
              </w:rPr>
              <w:t xml:space="preserve"> and key precedents in </w:t>
            </w:r>
            <w:r w:rsidR="00B91F35">
              <w:rPr>
                <w:rFonts w:ascii="Arial" w:hAnsi="Arial" w:cs="Arial"/>
                <w:sz w:val="20"/>
              </w:rPr>
              <w:t>constitutional law</w:t>
            </w:r>
            <w:r w:rsidRPr="00445816">
              <w:rPr>
                <w:rFonts w:ascii="Arial" w:hAnsi="Arial" w:cs="Arial"/>
                <w:sz w:val="20"/>
              </w:rPr>
              <w:t>.</w:t>
            </w:r>
          </w:p>
          <w:p w14:paraId="0E4DC0B6" w14:textId="0D4528E1" w:rsidR="00632965" w:rsidRPr="00C2322F" w:rsidRDefault="0030321B" w:rsidP="00B40966">
            <w:pPr>
              <w:rPr>
                <w:rFonts w:ascii="Arial" w:hAnsi="Arial" w:cs="Arial"/>
                <w:sz w:val="20"/>
              </w:rPr>
            </w:pPr>
            <w:r>
              <w:rPr>
                <w:rFonts w:ascii="Arial" w:hAnsi="Arial" w:cs="Arial"/>
                <w:sz w:val="20"/>
              </w:rPr>
              <w:t>Discuss constitutional principles as they apply to civil liberties</w:t>
            </w:r>
            <w:r w:rsidR="00D4465A">
              <w:rPr>
                <w:rFonts w:ascii="Arial" w:hAnsi="Arial" w:cs="Arial"/>
                <w:sz w:val="20"/>
              </w:rPr>
              <w:t xml:space="preserve"> and</w:t>
            </w:r>
            <w:r>
              <w:rPr>
                <w:rFonts w:ascii="Arial" w:hAnsi="Arial" w:cs="Arial"/>
                <w:sz w:val="20"/>
              </w:rPr>
              <w:t xml:space="preserve"> civil rights.</w:t>
            </w:r>
          </w:p>
        </w:tc>
      </w:tr>
      <w:tr w:rsidR="008C6CBC" w:rsidRPr="00C2322F" w14:paraId="30DED7F2" w14:textId="77777777" w:rsidTr="00D76428">
        <w:tc>
          <w:tcPr>
            <w:tcW w:w="10340" w:type="dxa"/>
            <w:gridSpan w:val="4"/>
            <w:shd w:val="clear" w:color="auto" w:fill="auto"/>
          </w:tcPr>
          <w:p w14:paraId="4B30F975" w14:textId="77777777" w:rsidR="008C6CBC" w:rsidRPr="00C2322F" w:rsidRDefault="008C6CBC" w:rsidP="00DF49AC">
            <w:pPr>
              <w:rPr>
                <w:rFonts w:ascii="Arial" w:hAnsi="Arial" w:cs="Arial"/>
                <w:sz w:val="20"/>
              </w:rPr>
            </w:pPr>
          </w:p>
        </w:tc>
      </w:tr>
      <w:tr w:rsidR="0017759C" w:rsidRPr="00C2322F" w14:paraId="0EA2E819" w14:textId="77777777" w:rsidTr="00D76428">
        <w:tc>
          <w:tcPr>
            <w:tcW w:w="10340" w:type="dxa"/>
            <w:gridSpan w:val="4"/>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3AF0205D" w14:textId="77777777" w:rsidTr="00D76428">
        <w:trPr>
          <w:trHeight w:val="89"/>
        </w:trPr>
        <w:tc>
          <w:tcPr>
            <w:tcW w:w="10340" w:type="dxa"/>
            <w:gridSpan w:val="4"/>
            <w:shd w:val="clear" w:color="auto" w:fill="auto"/>
          </w:tcPr>
          <w:p w14:paraId="1AAEB205" w14:textId="77777777" w:rsidR="0017759C" w:rsidRPr="00C2322F" w:rsidRDefault="0017759C">
            <w:pPr>
              <w:rPr>
                <w:rFonts w:ascii="Arial" w:hAnsi="Arial" w:cs="Arial"/>
                <w:sz w:val="10"/>
              </w:rPr>
            </w:pPr>
          </w:p>
        </w:tc>
      </w:tr>
      <w:tr w:rsidR="0017759C" w:rsidRPr="00C2322F" w14:paraId="43CA3E61" w14:textId="77777777" w:rsidTr="00D76428">
        <w:trPr>
          <w:trHeight w:val="288"/>
        </w:trPr>
        <w:tc>
          <w:tcPr>
            <w:tcW w:w="2870" w:type="dxa"/>
            <w:shd w:val="clear" w:color="auto" w:fill="auto"/>
            <w:vAlign w:val="center"/>
          </w:tcPr>
          <w:p w14:paraId="2916729E" w14:textId="77777777" w:rsidR="0017759C" w:rsidRPr="00C2322F" w:rsidRDefault="00D76428" w:rsidP="0017759C">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77777777" w:rsidR="0017759C" w:rsidRPr="00C2322F" w:rsidRDefault="0017759C">
            <w:pPr>
              <w:rPr>
                <w:rFonts w:ascii="Arial" w:hAnsi="Arial" w:cs="Arial"/>
                <w:sz w:val="20"/>
              </w:rPr>
            </w:pPr>
          </w:p>
        </w:tc>
      </w:tr>
      <w:tr w:rsidR="006A74A2" w:rsidRPr="00C2322F" w14:paraId="375C9AE7" w14:textId="77777777" w:rsidTr="00D76428">
        <w:trPr>
          <w:trHeight w:val="288"/>
        </w:trPr>
        <w:tc>
          <w:tcPr>
            <w:tcW w:w="2870" w:type="dxa"/>
            <w:shd w:val="clear" w:color="auto" w:fill="auto"/>
            <w:vAlign w:val="center"/>
          </w:tcPr>
          <w:p w14:paraId="40C7E40F" w14:textId="429F11EB" w:rsidR="006A74A2" w:rsidRPr="00C2322F" w:rsidRDefault="00D76428" w:rsidP="006F1AEA">
            <w:pPr>
              <w:rPr>
                <w:rFonts w:ascii="Arial" w:hAnsi="Arial" w:cs="Arial"/>
                <w:sz w:val="20"/>
              </w:rPr>
            </w:pPr>
            <w:r>
              <w:rPr>
                <w:rFonts w:ascii="Arial" w:hAnsi="Arial" w:cs="Arial"/>
                <w:sz w:val="20"/>
              </w:rPr>
              <w:t>garrettvandekamp@</w:t>
            </w:r>
            <w:r w:rsidR="00D4465A">
              <w:rPr>
                <w:rFonts w:ascii="Arial" w:hAnsi="Arial" w:cs="Arial"/>
                <w:sz w:val="20"/>
              </w:rPr>
              <w:t>uga</w:t>
            </w:r>
            <w:r>
              <w:rPr>
                <w:rFonts w:ascii="Arial" w:hAnsi="Arial" w:cs="Arial"/>
                <w:sz w:val="20"/>
              </w:rPr>
              <w:t>.edu</w:t>
            </w:r>
          </w:p>
        </w:tc>
        <w:tc>
          <w:tcPr>
            <w:tcW w:w="7470" w:type="dxa"/>
            <w:gridSpan w:val="3"/>
            <w:shd w:val="clear" w:color="auto" w:fill="auto"/>
          </w:tcPr>
          <w:p w14:paraId="4F84DE9A" w14:textId="77777777" w:rsidR="006A74A2" w:rsidRPr="00C2322F" w:rsidRDefault="006A74A2" w:rsidP="006F1AEA">
            <w:pPr>
              <w:rPr>
                <w:rFonts w:ascii="Arial" w:hAnsi="Arial" w:cs="Arial"/>
                <w:sz w:val="20"/>
              </w:rPr>
            </w:pPr>
          </w:p>
        </w:tc>
      </w:tr>
      <w:tr w:rsidR="006A74A2" w:rsidRPr="00C2322F" w14:paraId="326DE9CA" w14:textId="77777777" w:rsidTr="00D76428">
        <w:trPr>
          <w:trHeight w:val="288"/>
        </w:trPr>
        <w:tc>
          <w:tcPr>
            <w:tcW w:w="2870" w:type="dxa"/>
            <w:shd w:val="clear" w:color="auto" w:fill="auto"/>
            <w:vAlign w:val="center"/>
          </w:tcPr>
          <w:p w14:paraId="76AF6B67" w14:textId="32D290D4" w:rsidR="006A74A2" w:rsidRPr="00C2322F" w:rsidRDefault="00182D32" w:rsidP="006F1AEA">
            <w:pPr>
              <w:rPr>
                <w:rFonts w:ascii="Arial" w:hAnsi="Arial" w:cs="Arial"/>
                <w:sz w:val="20"/>
              </w:rPr>
            </w:pPr>
            <w:r>
              <w:rPr>
                <w:rFonts w:ascii="Arial" w:hAnsi="Arial" w:cs="Arial"/>
                <w:sz w:val="20"/>
              </w:rPr>
              <w:t xml:space="preserve">Zoom or </w:t>
            </w:r>
            <w:r w:rsidR="00D4465A">
              <w:rPr>
                <w:rFonts w:ascii="Arial" w:hAnsi="Arial" w:cs="Arial"/>
                <w:sz w:val="20"/>
              </w:rPr>
              <w:t>Baldwin 409</w:t>
            </w:r>
          </w:p>
        </w:tc>
        <w:tc>
          <w:tcPr>
            <w:tcW w:w="7470" w:type="dxa"/>
            <w:gridSpan w:val="3"/>
            <w:shd w:val="clear" w:color="auto" w:fill="auto"/>
          </w:tcPr>
          <w:p w14:paraId="42B8464E" w14:textId="77777777" w:rsidR="006A74A2" w:rsidRPr="00C2322F" w:rsidRDefault="006A74A2" w:rsidP="006F1AEA">
            <w:pPr>
              <w:rPr>
                <w:rFonts w:ascii="Arial" w:hAnsi="Arial" w:cs="Arial"/>
                <w:sz w:val="20"/>
              </w:rPr>
            </w:pPr>
          </w:p>
        </w:tc>
      </w:tr>
      <w:tr w:rsidR="0017759C" w:rsidRPr="00C2322F" w14:paraId="6C11158C" w14:textId="77777777" w:rsidTr="00D76428">
        <w:trPr>
          <w:trHeight w:val="288"/>
        </w:trPr>
        <w:tc>
          <w:tcPr>
            <w:tcW w:w="2870" w:type="dxa"/>
            <w:shd w:val="clear" w:color="auto" w:fill="auto"/>
            <w:vAlign w:val="center"/>
          </w:tcPr>
          <w:p w14:paraId="3DAEC0DA" w14:textId="0F62138F" w:rsidR="0017759C" w:rsidRPr="00C2322F" w:rsidRDefault="00AD1A7F" w:rsidP="0017759C">
            <w:pPr>
              <w:rPr>
                <w:rFonts w:ascii="Arial" w:hAnsi="Arial" w:cs="Arial"/>
                <w:sz w:val="20"/>
              </w:rPr>
            </w:pPr>
            <w:r>
              <w:rPr>
                <w:rFonts w:ascii="Arial" w:hAnsi="Arial" w:cs="Arial"/>
                <w:sz w:val="20"/>
              </w:rPr>
              <w:t>TR 1:30pm-3:00pm</w:t>
            </w:r>
          </w:p>
        </w:tc>
        <w:tc>
          <w:tcPr>
            <w:tcW w:w="7470" w:type="dxa"/>
            <w:gridSpan w:val="3"/>
            <w:shd w:val="clear" w:color="auto" w:fill="auto"/>
          </w:tcPr>
          <w:p w14:paraId="74293632" w14:textId="77777777" w:rsidR="0017759C" w:rsidRPr="00C2322F" w:rsidRDefault="0017759C">
            <w:pPr>
              <w:rPr>
                <w:rFonts w:ascii="Arial" w:hAnsi="Arial" w:cs="Arial"/>
                <w:sz w:val="20"/>
              </w:rPr>
            </w:pPr>
          </w:p>
        </w:tc>
      </w:tr>
      <w:tr w:rsidR="00396748" w:rsidRPr="00C2322F" w14:paraId="1E4F94B5" w14:textId="77777777" w:rsidTr="00D76428">
        <w:tc>
          <w:tcPr>
            <w:tcW w:w="10340" w:type="dxa"/>
            <w:gridSpan w:val="4"/>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4"/>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4"/>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4"/>
            <w:shd w:val="clear" w:color="auto" w:fill="auto"/>
          </w:tcPr>
          <w:p w14:paraId="4432B7E9" w14:textId="180A24EA" w:rsidR="00654087" w:rsidRDefault="00C507DA" w:rsidP="0017759C">
            <w:pPr>
              <w:rPr>
                <w:rFonts w:ascii="Arial" w:hAnsi="Arial" w:cs="Arial"/>
                <w:sz w:val="20"/>
              </w:rPr>
            </w:pPr>
            <w:r>
              <w:rPr>
                <w:rFonts w:ascii="Arial" w:hAnsi="Arial" w:cs="Arial"/>
                <w:sz w:val="20"/>
              </w:rPr>
              <w:t xml:space="preserve">Recommended </w:t>
            </w:r>
            <w:r w:rsidR="000C158F" w:rsidRPr="000C158F">
              <w:rPr>
                <w:rFonts w:ascii="Arial" w:hAnsi="Arial" w:cs="Arial"/>
                <w:sz w:val="20"/>
              </w:rPr>
              <w:t>Textbook</w:t>
            </w:r>
            <w:r w:rsidR="000C158F">
              <w:rPr>
                <w:rFonts w:ascii="Arial" w:hAnsi="Arial" w:cs="Arial"/>
                <w:i/>
                <w:sz w:val="20"/>
              </w:rPr>
              <w:t xml:space="preserve">: </w:t>
            </w:r>
            <w:r w:rsidR="00193C9B">
              <w:rPr>
                <w:rFonts w:ascii="Arial" w:hAnsi="Arial" w:cs="Arial"/>
                <w:i/>
                <w:sz w:val="20"/>
              </w:rPr>
              <w:t>Constitutional Law for a Changing America: Rights, Liberties, and Justice</w:t>
            </w:r>
            <w:r w:rsidR="00193C9B">
              <w:rPr>
                <w:rFonts w:ascii="Arial" w:hAnsi="Arial" w:cs="Arial"/>
                <w:sz w:val="20"/>
              </w:rPr>
              <w:t xml:space="preserve">, </w:t>
            </w:r>
            <w:r w:rsidR="000826BE">
              <w:rPr>
                <w:rFonts w:ascii="Arial" w:hAnsi="Arial" w:cs="Arial"/>
                <w:sz w:val="20"/>
              </w:rPr>
              <w:t>1</w:t>
            </w:r>
            <w:r w:rsidR="00D32A05">
              <w:rPr>
                <w:rFonts w:ascii="Arial" w:hAnsi="Arial" w:cs="Arial"/>
                <w:sz w:val="20"/>
              </w:rPr>
              <w:t>1</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w:t>
            </w:r>
            <w:r w:rsidR="0038073E">
              <w:rPr>
                <w:rFonts w:ascii="Arial" w:hAnsi="Arial" w:cs="Arial"/>
                <w:sz w:val="20"/>
              </w:rPr>
              <w:t xml:space="preserve">, Kevin McGuire, and </w:t>
            </w:r>
            <w:r w:rsidR="009F263F">
              <w:rPr>
                <w:rFonts w:ascii="Arial" w:hAnsi="Arial" w:cs="Arial"/>
                <w:sz w:val="20"/>
              </w:rPr>
              <w:t>Thomas G. Walker.</w:t>
            </w: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4"/>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4"/>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4"/>
            <w:shd w:val="clear" w:color="auto" w:fill="auto"/>
          </w:tcPr>
          <w:p w14:paraId="5D43286D" w14:textId="1BC2757E" w:rsidR="00884395" w:rsidRDefault="003E1396" w:rsidP="0014674F">
            <w:pPr>
              <w:tabs>
                <w:tab w:val="center" w:pos="5062"/>
              </w:tabs>
              <w:rPr>
                <w:rFonts w:ascii="Arial" w:hAnsi="Arial" w:cs="Arial"/>
                <w:sz w:val="20"/>
                <w:szCs w:val="20"/>
              </w:rPr>
            </w:pPr>
            <w:r>
              <w:rPr>
                <w:rFonts w:ascii="Arial" w:hAnsi="Arial" w:cs="Arial"/>
                <w:sz w:val="20"/>
                <w:szCs w:val="20"/>
              </w:rPr>
              <w:t xml:space="preserve">The class will be taught in a synchronous online format, with an in-person option depending on instructor availability. </w:t>
            </w:r>
            <w:r w:rsidR="00884395">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 it may inform students’ participation grades.</w:t>
            </w:r>
          </w:p>
          <w:p w14:paraId="7472D0E9" w14:textId="77777777" w:rsidR="00884395" w:rsidRDefault="00884395" w:rsidP="0014674F">
            <w:pPr>
              <w:tabs>
                <w:tab w:val="center" w:pos="5062"/>
              </w:tabs>
              <w:rPr>
                <w:rFonts w:ascii="Arial" w:hAnsi="Arial" w:cs="Arial"/>
                <w:sz w:val="20"/>
                <w:szCs w:val="20"/>
              </w:rPr>
            </w:pPr>
          </w:p>
          <w:p w14:paraId="0E6A958C" w14:textId="40039973" w:rsidR="00130F15" w:rsidRPr="003E1396" w:rsidRDefault="00D1532C" w:rsidP="00255267">
            <w:pPr>
              <w:tabs>
                <w:tab w:val="center" w:pos="5062"/>
              </w:tabs>
              <w:rPr>
                <w:rFonts w:ascii="Arial" w:hAnsi="Arial" w:cs="Arial"/>
                <w:sz w:val="20"/>
              </w:rPr>
            </w:pPr>
            <w:r>
              <w:rPr>
                <w:rFonts w:ascii="Arial" w:hAnsi="Arial" w:cs="Arial"/>
                <w:sz w:val="20"/>
                <w:szCs w:val="20"/>
              </w:rPr>
              <w:t xml:space="preserve">Attendance to </w:t>
            </w:r>
            <w:r w:rsidR="00255267">
              <w:rPr>
                <w:rFonts w:ascii="Arial" w:hAnsi="Arial" w:cs="Arial"/>
                <w:sz w:val="20"/>
                <w:szCs w:val="20"/>
              </w:rPr>
              <w:t xml:space="preserve">quizzes and </w:t>
            </w:r>
            <w:r>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r>
              <w:rPr>
                <w:rFonts w:ascii="Arial" w:hAnsi="Arial" w:cs="Arial"/>
                <w:sz w:val="20"/>
                <w:szCs w:val="20"/>
              </w:rPr>
              <w:t xml:space="preserve">Make-up exams are at the discretion of the professor, but will always be within a week of the exam date. University-excused absences will always guarantee a make-up </w:t>
            </w:r>
            <w:r w:rsidR="00280197">
              <w:rPr>
                <w:rFonts w:ascii="Arial" w:hAnsi="Arial" w:cs="Arial"/>
                <w:sz w:val="20"/>
                <w:szCs w:val="20"/>
              </w:rPr>
              <w:t>attempt</w:t>
            </w:r>
            <w:r>
              <w:rPr>
                <w:rFonts w:ascii="Arial" w:hAnsi="Arial" w:cs="Arial"/>
                <w:sz w:val="20"/>
                <w:szCs w:val="20"/>
              </w:rPr>
              <w:t>.</w:t>
            </w:r>
            <w:r w:rsidR="00632965">
              <w:rPr>
                <w:rFonts w:ascii="Arial" w:hAnsi="Arial" w:cs="Arial"/>
                <w:sz w:val="20"/>
                <w:szCs w:val="20"/>
              </w:rPr>
              <w:t xml:space="preserve"> </w:t>
            </w:r>
            <w:r w:rsidR="00632965">
              <w:rPr>
                <w:rFonts w:ascii="Arial" w:hAnsi="Arial" w:cs="Arial"/>
                <w:sz w:val="20"/>
              </w:rPr>
              <w:t>Quizzes will be announced at least one class period before they are scheduled. Exams</w:t>
            </w:r>
            <w:r w:rsidR="00280197">
              <w:rPr>
                <w:rFonts w:ascii="Arial" w:hAnsi="Arial" w:cs="Arial"/>
                <w:sz w:val="20"/>
              </w:rPr>
              <w:t xml:space="preserve"> and presentations for students</w:t>
            </w:r>
            <w:r w:rsidR="00632965">
              <w:rPr>
                <w:rFonts w:ascii="Arial" w:hAnsi="Arial" w:cs="Arial"/>
                <w:sz w:val="20"/>
              </w:rPr>
              <w:t xml:space="preserve"> will be announced at least one week before they are scheduled.</w:t>
            </w:r>
          </w:p>
        </w:tc>
      </w:tr>
      <w:tr w:rsidR="00884395" w:rsidRPr="00C2322F" w14:paraId="43A58F88" w14:textId="77777777" w:rsidTr="0014674F">
        <w:tc>
          <w:tcPr>
            <w:tcW w:w="10340" w:type="dxa"/>
            <w:gridSpan w:val="4"/>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4"/>
            <w:shd w:val="clear" w:color="auto" w:fill="auto"/>
          </w:tcPr>
          <w:p w14:paraId="418020D5" w14:textId="77777777"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4"/>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4"/>
            <w:shd w:val="clear" w:color="auto" w:fill="auto"/>
          </w:tcPr>
          <w:p w14:paraId="598491D2" w14:textId="33731685"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D14480">
              <w:rPr>
                <w:rFonts w:ascii="Arial" w:hAnsi="Arial" w:cs="Arial"/>
                <w:sz w:val="20"/>
                <w:szCs w:val="20"/>
              </w:rPr>
              <w:t>5</w:t>
            </w:r>
            <w:r>
              <w:rPr>
                <w:rFonts w:ascii="Arial" w:hAnsi="Arial" w:cs="Arial"/>
                <w:sz w:val="20"/>
                <w:szCs w:val="20"/>
              </w:rPr>
              <w:t>0%</w:t>
            </w:r>
          </w:p>
          <w:p w14:paraId="68BC0127" w14:textId="3B4EAD76"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F852F14" w14:textId="31B9084F" w:rsidR="00884395"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Pr>
                <w:rFonts w:ascii="Arial" w:hAnsi="Arial" w:cs="Arial"/>
                <w:sz w:val="20"/>
                <w:szCs w:val="20"/>
              </w:rPr>
              <w:t>1</w:t>
            </w:r>
            <w:r w:rsidR="00D14480">
              <w:rPr>
                <w:rFonts w:ascii="Arial" w:hAnsi="Arial" w:cs="Arial"/>
                <w:sz w:val="20"/>
                <w:szCs w:val="20"/>
              </w:rPr>
              <w:t>5</w:t>
            </w:r>
            <w:r w:rsidR="00884395">
              <w:rPr>
                <w:rFonts w:ascii="Arial" w:hAnsi="Arial" w:cs="Arial"/>
                <w:sz w:val="20"/>
                <w:szCs w:val="20"/>
              </w:rPr>
              <w:t>%</w:t>
            </w:r>
          </w:p>
          <w:p w14:paraId="036BDA0D" w14:textId="4CDC1A62" w:rsidR="00D1532C" w:rsidRPr="00C2322F" w:rsidRDefault="00884395" w:rsidP="00884395">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D14480">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4"/>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4"/>
            <w:shd w:val="clear" w:color="auto" w:fill="auto"/>
          </w:tcPr>
          <w:p w14:paraId="57EC9572" w14:textId="23D7B002" w:rsidR="001E1D90" w:rsidRDefault="001E1D90" w:rsidP="001E1D90">
            <w:pPr>
              <w:rPr>
                <w:rFonts w:ascii="Arial" w:hAnsi="Arial" w:cs="Arial"/>
                <w:sz w:val="20"/>
              </w:rPr>
            </w:pPr>
            <w:r>
              <w:rPr>
                <w:rFonts w:ascii="Arial" w:hAnsi="Arial" w:cs="Arial"/>
                <w:sz w:val="20"/>
              </w:rPr>
              <w:lastRenderedPageBreak/>
              <w:t xml:space="preserve">Assignments will receive due dates. Unless otherwise specified in writing, all assignments that are due on scheduled class day will be due before class. These due dates are mandatory. Written assignments turned in after class but on the due date will be subject to a 10% grade reduction. Late written assignments after the due date will be accepted with a 15% grade reduction for each day it is late. Oral assignments will not be accepted late; late assignments will be given a zero. </w:t>
            </w:r>
            <w:r w:rsidRPr="00130F15">
              <w:rPr>
                <w:rFonts w:ascii="Arial" w:hAnsi="Arial" w:cs="Arial"/>
                <w:sz w:val="20"/>
              </w:rPr>
              <w:t xml:space="preserve">Students with </w:t>
            </w:r>
            <w:r>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Pr>
                <w:rFonts w:ascii="Arial" w:hAnsi="Arial" w:cs="Arial"/>
                <w:sz w:val="20"/>
              </w:rPr>
              <w:t xml:space="preserve"> prior to their scheduled presentation day.</w:t>
            </w:r>
          </w:p>
          <w:p w14:paraId="2A2E20F7" w14:textId="77777777" w:rsidR="001E1D90" w:rsidRDefault="001E1D90" w:rsidP="001E1D90">
            <w:pPr>
              <w:rPr>
                <w:rFonts w:ascii="Arial" w:hAnsi="Arial" w:cs="Arial"/>
                <w:sz w:val="20"/>
              </w:rPr>
            </w:pPr>
          </w:p>
          <w:p w14:paraId="46B36272" w14:textId="77777777" w:rsidR="001E1D90" w:rsidRDefault="001E1D90" w:rsidP="001E1D90">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9" w:history="1">
              <w:r w:rsidRPr="006917BB">
                <w:rPr>
                  <w:rStyle w:val="Hyperlink"/>
                  <w:rFonts w:ascii="Arial" w:hAnsi="Arial" w:cs="Arial"/>
                  <w:sz w:val="20"/>
                </w:rPr>
                <w:t>https://honesty.uga.edu/</w:t>
              </w:r>
            </w:hyperlink>
            <w:r>
              <w:rPr>
                <w:rFonts w:ascii="Arial" w:hAnsi="Arial" w:cs="Arial"/>
                <w:sz w:val="20"/>
              </w:rPr>
              <w:t xml:space="preserve"> </w:t>
            </w:r>
          </w:p>
          <w:p w14:paraId="6AD48A86" w14:textId="77777777" w:rsidR="001E1D90" w:rsidRDefault="001E1D90" w:rsidP="001E1D90">
            <w:pPr>
              <w:rPr>
                <w:rFonts w:ascii="Arial" w:hAnsi="Arial" w:cs="Arial"/>
                <w:sz w:val="20"/>
              </w:rPr>
            </w:pPr>
          </w:p>
          <w:p w14:paraId="76D33215" w14:textId="77777777" w:rsidR="001E1D90" w:rsidRDefault="001E1D90" w:rsidP="001E1D90">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0" w:history="1">
              <w:r w:rsidRPr="005374E2">
                <w:rPr>
                  <w:rStyle w:val="Hyperlink"/>
                  <w:rFonts w:ascii="Arial" w:hAnsi="Arial" w:cs="Arial"/>
                  <w:sz w:val="20"/>
                </w:rPr>
                <w:t>www.uga.edu/ovpi</w:t>
              </w:r>
            </w:hyperlink>
            <w:r>
              <w:rPr>
                <w:rFonts w:ascii="Arial" w:hAnsi="Arial" w:cs="Arial"/>
                <w:sz w:val="20"/>
              </w:rPr>
              <w:t xml:space="preserve"> </w:t>
            </w:r>
          </w:p>
          <w:p w14:paraId="1F355621" w14:textId="77777777" w:rsidR="001E1D90" w:rsidRDefault="001E1D90" w:rsidP="001E1D90">
            <w:pPr>
              <w:rPr>
                <w:rFonts w:ascii="Arial" w:hAnsi="Arial" w:cs="Arial"/>
                <w:sz w:val="20"/>
              </w:rPr>
            </w:pPr>
          </w:p>
          <w:p w14:paraId="5C35E543" w14:textId="77777777" w:rsidR="001E1D90" w:rsidRDefault="001E1D90" w:rsidP="001E1D90">
            <w:pPr>
              <w:rPr>
                <w:rFonts w:ascii="Arial" w:hAnsi="Arial" w:cs="Arial"/>
                <w:sz w:val="20"/>
              </w:rPr>
            </w:pPr>
            <w:r w:rsidRPr="00A23D52">
              <w:rPr>
                <w:rFonts w:ascii="Arial" w:hAnsi="Arial" w:cs="Arial"/>
                <w:b/>
                <w:sz w:val="20"/>
              </w:rPr>
              <w:t>Case Briefs and Presentations</w:t>
            </w:r>
            <w:r>
              <w:rPr>
                <w:rFonts w:ascii="Arial" w:hAnsi="Arial" w:cs="Arial"/>
                <w:sz w:val="20"/>
              </w:rPr>
              <w:t>: Students will be required to write case briefs on Supreme Court decisions examined in this class. Case briefs summarize the elements of a case, which are detailed at the end of the syllabus. The case brief is expected to summarize all elements of a case, not just those elements reproduced or summarized in the textbook or other reference material. Part of the course will involve students locating full Supreme Court decisions, including concurrences and dissents. At minimum, students must follow the professor’s format when creating a case brief. Case briefs should be of a professional quality.</w:t>
            </w:r>
          </w:p>
          <w:p w14:paraId="1AA91ACD" w14:textId="77777777" w:rsidR="001E1D90" w:rsidRDefault="001E1D90" w:rsidP="001E1D90">
            <w:pPr>
              <w:rPr>
                <w:rFonts w:ascii="Arial" w:hAnsi="Arial" w:cs="Arial"/>
                <w:sz w:val="20"/>
              </w:rPr>
            </w:pPr>
          </w:p>
          <w:p w14:paraId="6475EDAE" w14:textId="77777777" w:rsidR="001E1D90" w:rsidRDefault="001E1D90" w:rsidP="001E1D90">
            <w:pPr>
              <w:rPr>
                <w:rFonts w:ascii="Arial" w:hAnsi="Arial" w:cs="Arial"/>
                <w:sz w:val="20"/>
              </w:rPr>
            </w:pPr>
            <w:r>
              <w:rPr>
                <w:rFonts w:ascii="Arial" w:hAnsi="Arial" w:cs="Arial"/>
                <w:sz w:val="20"/>
              </w:rPr>
              <w:t>Students will also be required to present some of these cases to the class. The number of cases a student can expect to present is dependent upon class size but should expect to complete multiple case briefs. The instructor will assign students to both the case to be briefed and presented as well as the date both are due. Students may trade assignments with each other when both consent and both inform the professor with written communication.</w:t>
            </w:r>
          </w:p>
          <w:p w14:paraId="1B2C29CB" w14:textId="77777777" w:rsidR="001E1D90" w:rsidRDefault="001E1D90" w:rsidP="001E1D90">
            <w:pPr>
              <w:rPr>
                <w:rFonts w:ascii="Arial" w:hAnsi="Arial" w:cs="Arial"/>
                <w:sz w:val="20"/>
              </w:rPr>
            </w:pPr>
          </w:p>
          <w:p w14:paraId="084C14B6" w14:textId="77777777" w:rsidR="001E1D90" w:rsidRDefault="001E1D90" w:rsidP="001E1D90">
            <w:pPr>
              <w:rPr>
                <w:rFonts w:ascii="Arial" w:hAnsi="Arial" w:cs="Arial"/>
                <w:sz w:val="20"/>
              </w:rPr>
            </w:pPr>
            <w:r w:rsidRPr="00A23D52">
              <w:rPr>
                <w:rFonts w:ascii="Arial" w:hAnsi="Arial" w:cs="Arial"/>
                <w:b/>
                <w:sz w:val="20"/>
              </w:rPr>
              <w:t>Quizzes</w:t>
            </w:r>
            <w:r>
              <w:rPr>
                <w:rFonts w:ascii="Arial" w:hAnsi="Arial" w:cs="Arial"/>
                <w:sz w:val="20"/>
              </w:rPr>
              <w:t>: Quizzes will be administered weekly to ensure that students are engaged with the materials. They will ask about the cases that have been assigned in class, up to and including the cases to be discussed on the day of the quiz. Quizzes will cover material either from the textbook or the text of the case itself.</w:t>
            </w:r>
          </w:p>
          <w:p w14:paraId="69C333ED" w14:textId="77777777" w:rsidR="001E1D90" w:rsidRDefault="001E1D90" w:rsidP="001E1D90">
            <w:pPr>
              <w:rPr>
                <w:rFonts w:ascii="Arial" w:hAnsi="Arial" w:cs="Arial"/>
                <w:sz w:val="20"/>
              </w:rPr>
            </w:pPr>
          </w:p>
          <w:p w14:paraId="00ABF294" w14:textId="77777777" w:rsidR="001E1D90" w:rsidRDefault="001E1D90" w:rsidP="001E1D90">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during class</w:t>
            </w:r>
            <w:r w:rsidRPr="005C2A7A">
              <w:rPr>
                <w:rFonts w:ascii="Arial" w:hAnsi="Arial" w:cs="Arial"/>
                <w:sz w:val="20"/>
              </w:rPr>
              <w:t xml:space="preserve"> will also be docked on their participation grade.</w:t>
            </w:r>
          </w:p>
          <w:p w14:paraId="686B3473" w14:textId="25B2D044"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4"/>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884395" w:rsidRPr="00C2322F" w14:paraId="7B1842F2" w14:textId="77777777" w:rsidTr="00D76428">
        <w:tc>
          <w:tcPr>
            <w:tcW w:w="10340" w:type="dxa"/>
            <w:gridSpan w:val="4"/>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1E1D90" w14:paraId="19B5CD50" w14:textId="77777777" w:rsidTr="00844674">
              <w:tc>
                <w:tcPr>
                  <w:tcW w:w="2022" w:type="dxa"/>
                  <w:tcBorders>
                    <w:top w:val="nil"/>
                    <w:left w:val="nil"/>
                    <w:bottom w:val="nil"/>
                    <w:right w:val="nil"/>
                  </w:tcBorders>
                </w:tcPr>
                <w:p w14:paraId="115CE334"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850EB1" w14:textId="77777777" w:rsidR="001E1D90" w:rsidRDefault="001E1D90" w:rsidP="001E1D90">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12917D1C"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727968B8"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5AF9" w14:textId="77777777" w:rsidR="001E1D90" w:rsidRDefault="001E1D90" w:rsidP="001E1D90">
                  <w:pPr>
                    <w:jc w:val="both"/>
                    <w:rPr>
                      <w:rFonts w:ascii="Arial" w:hAnsi="Arial" w:cs="Arial"/>
                      <w:sz w:val="20"/>
                      <w:szCs w:val="22"/>
                    </w:rPr>
                  </w:pPr>
                  <w:r>
                    <w:rPr>
                      <w:rFonts w:ascii="Arial" w:hAnsi="Arial" w:cs="Arial"/>
                      <w:sz w:val="20"/>
                      <w:szCs w:val="22"/>
                    </w:rPr>
                    <w:t>77-80</w:t>
                  </w:r>
                </w:p>
              </w:tc>
            </w:tr>
            <w:tr w:rsidR="001E1D90" w14:paraId="3E6EC6D1" w14:textId="77777777" w:rsidTr="00844674">
              <w:tc>
                <w:tcPr>
                  <w:tcW w:w="2022" w:type="dxa"/>
                  <w:tcBorders>
                    <w:top w:val="nil"/>
                    <w:left w:val="nil"/>
                    <w:bottom w:val="nil"/>
                    <w:right w:val="nil"/>
                  </w:tcBorders>
                </w:tcPr>
                <w:p w14:paraId="6E923B25"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7AF3E669" w14:textId="77777777" w:rsidR="001E1D90" w:rsidRDefault="001E1D90" w:rsidP="001E1D90">
                  <w:pPr>
                    <w:jc w:val="both"/>
                    <w:rPr>
                      <w:rFonts w:ascii="Arial" w:hAnsi="Arial" w:cs="Arial"/>
                      <w:sz w:val="20"/>
                      <w:szCs w:val="22"/>
                    </w:rPr>
                  </w:pPr>
                  <w:r>
                    <w:rPr>
                      <w:rFonts w:ascii="Arial" w:hAnsi="Arial" w:cs="Arial"/>
                      <w:sz w:val="20"/>
                      <w:szCs w:val="22"/>
                    </w:rPr>
                    <w:t>90-92</w:t>
                  </w:r>
                </w:p>
              </w:tc>
              <w:tc>
                <w:tcPr>
                  <w:tcW w:w="2023" w:type="dxa"/>
                  <w:tcBorders>
                    <w:top w:val="nil"/>
                    <w:left w:val="nil"/>
                    <w:bottom w:val="nil"/>
                    <w:right w:val="nil"/>
                  </w:tcBorders>
                </w:tcPr>
                <w:p w14:paraId="79DB409A"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6B4A5AE4"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8DBBEA" w14:textId="77777777" w:rsidR="001E1D90" w:rsidRDefault="001E1D90" w:rsidP="001E1D90">
                  <w:pPr>
                    <w:jc w:val="both"/>
                    <w:rPr>
                      <w:rFonts w:ascii="Arial" w:hAnsi="Arial" w:cs="Arial"/>
                      <w:sz w:val="20"/>
                      <w:szCs w:val="22"/>
                    </w:rPr>
                  </w:pPr>
                  <w:r>
                    <w:rPr>
                      <w:rFonts w:ascii="Arial" w:hAnsi="Arial" w:cs="Arial"/>
                      <w:sz w:val="20"/>
                      <w:szCs w:val="22"/>
                    </w:rPr>
                    <w:t>73-77</w:t>
                  </w:r>
                </w:p>
              </w:tc>
            </w:tr>
            <w:tr w:rsidR="001E1D90" w14:paraId="50CCF734" w14:textId="77777777" w:rsidTr="00844674">
              <w:tc>
                <w:tcPr>
                  <w:tcW w:w="2022" w:type="dxa"/>
                  <w:tcBorders>
                    <w:top w:val="nil"/>
                    <w:left w:val="nil"/>
                    <w:bottom w:val="nil"/>
                    <w:right w:val="nil"/>
                  </w:tcBorders>
                </w:tcPr>
                <w:p w14:paraId="3ACE0C5A"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0DBCBD07" w14:textId="77777777" w:rsidR="001E1D90" w:rsidRDefault="001E1D90" w:rsidP="001E1D90">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1CAC7157"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1E84C823"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66FE9CA9" w14:textId="77777777" w:rsidR="001E1D90" w:rsidRDefault="001E1D90" w:rsidP="001E1D90">
                  <w:pPr>
                    <w:jc w:val="both"/>
                    <w:rPr>
                      <w:rFonts w:ascii="Arial" w:hAnsi="Arial" w:cs="Arial"/>
                      <w:sz w:val="20"/>
                      <w:szCs w:val="22"/>
                    </w:rPr>
                  </w:pPr>
                  <w:r>
                    <w:rPr>
                      <w:rFonts w:ascii="Arial" w:hAnsi="Arial" w:cs="Arial"/>
                      <w:sz w:val="20"/>
                      <w:szCs w:val="22"/>
                    </w:rPr>
                    <w:t>70-73</w:t>
                  </w:r>
                </w:p>
              </w:tc>
            </w:tr>
            <w:tr w:rsidR="001E1D90" w14:paraId="7CF01CC1" w14:textId="77777777" w:rsidTr="00844674">
              <w:tc>
                <w:tcPr>
                  <w:tcW w:w="2022" w:type="dxa"/>
                  <w:tcBorders>
                    <w:top w:val="nil"/>
                    <w:left w:val="nil"/>
                    <w:bottom w:val="nil"/>
                    <w:right w:val="nil"/>
                  </w:tcBorders>
                </w:tcPr>
                <w:p w14:paraId="623470BD"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10D5DD40" w14:textId="77777777" w:rsidR="001E1D90" w:rsidRDefault="001E1D90" w:rsidP="001E1D90">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795AAE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3C95048" w14:textId="77777777" w:rsidR="001E1D90" w:rsidRDefault="001E1D90" w:rsidP="001E1D90">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1D19AC35" w14:textId="77777777" w:rsidR="001E1D90" w:rsidRDefault="001E1D90" w:rsidP="001E1D90">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1E1D90" w14:paraId="0A5D1990" w14:textId="77777777" w:rsidTr="00844674">
              <w:tc>
                <w:tcPr>
                  <w:tcW w:w="2022" w:type="dxa"/>
                  <w:tcBorders>
                    <w:top w:val="nil"/>
                    <w:left w:val="nil"/>
                    <w:bottom w:val="nil"/>
                    <w:right w:val="nil"/>
                  </w:tcBorders>
                </w:tcPr>
                <w:p w14:paraId="228C1E76"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74796291" w14:textId="77777777" w:rsidR="001E1D90" w:rsidRDefault="001E1D90" w:rsidP="001E1D90">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6FC73C6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96417B3" w14:textId="77777777" w:rsidR="001E1D90" w:rsidRDefault="001E1D90" w:rsidP="001E1D90">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1FEE0C5D" w14:textId="77777777" w:rsidR="001E1D90" w:rsidRDefault="001E1D90" w:rsidP="001E1D90">
                  <w:pPr>
                    <w:jc w:val="both"/>
                    <w:rPr>
                      <w:rFonts w:ascii="Arial" w:hAnsi="Arial" w:cs="Arial"/>
                      <w:sz w:val="20"/>
                      <w:szCs w:val="22"/>
                    </w:rPr>
                  </w:pPr>
                  <w:r w:rsidRPr="00632965">
                    <w:rPr>
                      <w:rFonts w:ascii="Arial" w:hAnsi="Arial" w:cs="Arial"/>
                      <w:sz w:val="20"/>
                      <w:szCs w:val="22"/>
                    </w:rPr>
                    <w:t>&lt;60</w:t>
                  </w:r>
                </w:p>
              </w:tc>
            </w:tr>
          </w:tbl>
          <w:p w14:paraId="34C16A50" w14:textId="42B41380" w:rsidR="00884395" w:rsidRPr="00632965" w:rsidRDefault="00884395" w:rsidP="001E1D90">
            <w:pPr>
              <w:jc w:val="both"/>
              <w:rPr>
                <w:rFonts w:ascii="Garamond" w:hAnsi="Garamond"/>
                <w:sz w:val="22"/>
                <w:szCs w:val="22"/>
              </w:rPr>
            </w:pPr>
          </w:p>
        </w:tc>
      </w:tr>
      <w:tr w:rsidR="00884395" w:rsidRPr="00C2322F" w14:paraId="1656B35C" w14:textId="77777777" w:rsidTr="00D76428">
        <w:tc>
          <w:tcPr>
            <w:tcW w:w="10340" w:type="dxa"/>
            <w:gridSpan w:val="4"/>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4"/>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4"/>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4"/>
            <w:shd w:val="clear" w:color="auto" w:fill="auto"/>
          </w:tcPr>
          <w:p w14:paraId="250AFE45" w14:textId="11195DAE" w:rsidR="00B6702E" w:rsidRPr="00B6702E" w:rsidRDefault="00B6702E" w:rsidP="00B6702E">
            <w:pPr>
              <w:rPr>
                <w:rFonts w:ascii="Arial" w:hAnsi="Arial" w:cs="Arial"/>
                <w:sz w:val="20"/>
                <w:szCs w:val="20"/>
              </w:rPr>
            </w:pPr>
            <w:r w:rsidRPr="00B6702E">
              <w:rPr>
                <w:rFonts w:ascii="Arial" w:hAnsi="Arial" w:cs="Arial"/>
                <w:sz w:val="20"/>
                <w:szCs w:val="20"/>
              </w:rPr>
              <w:t xml:space="preserve">Monday, </w:t>
            </w:r>
            <w:r w:rsidR="00AF4EF9">
              <w:rPr>
                <w:rFonts w:ascii="Arial" w:hAnsi="Arial" w:cs="Arial"/>
                <w:sz w:val="20"/>
                <w:szCs w:val="20"/>
              </w:rPr>
              <w:t>July 11</w:t>
            </w:r>
            <w:r w:rsidRPr="00B6702E">
              <w:rPr>
                <w:rFonts w:ascii="Arial" w:hAnsi="Arial" w:cs="Arial"/>
                <w:sz w:val="20"/>
                <w:szCs w:val="20"/>
              </w:rPr>
              <w:t>: Classes begin</w:t>
            </w:r>
          </w:p>
          <w:p w14:paraId="31C95171" w14:textId="2418BED8" w:rsidR="00B6702E" w:rsidRPr="00B6702E" w:rsidRDefault="00B6702E" w:rsidP="00B6702E">
            <w:pPr>
              <w:rPr>
                <w:rFonts w:ascii="Arial" w:hAnsi="Arial" w:cs="Arial"/>
                <w:sz w:val="20"/>
                <w:szCs w:val="20"/>
              </w:rPr>
            </w:pPr>
            <w:r w:rsidRPr="00B6702E">
              <w:rPr>
                <w:rFonts w:ascii="Arial" w:hAnsi="Arial" w:cs="Arial"/>
                <w:sz w:val="20"/>
                <w:szCs w:val="20"/>
              </w:rPr>
              <w:t>Monday-</w:t>
            </w:r>
            <w:r w:rsidR="00AF4EF9">
              <w:rPr>
                <w:rFonts w:ascii="Arial" w:hAnsi="Arial" w:cs="Arial"/>
                <w:sz w:val="20"/>
                <w:szCs w:val="20"/>
              </w:rPr>
              <w:t>Tuesday</w:t>
            </w:r>
            <w:r w:rsidRPr="00B6702E">
              <w:rPr>
                <w:rFonts w:ascii="Arial" w:hAnsi="Arial" w:cs="Arial"/>
                <w:sz w:val="20"/>
                <w:szCs w:val="20"/>
              </w:rPr>
              <w:t xml:space="preserve">, </w:t>
            </w:r>
            <w:r w:rsidR="00AF4EF9">
              <w:rPr>
                <w:rFonts w:ascii="Arial" w:hAnsi="Arial" w:cs="Arial"/>
                <w:sz w:val="20"/>
                <w:szCs w:val="20"/>
              </w:rPr>
              <w:t>July 11-12</w:t>
            </w:r>
            <w:r w:rsidRPr="00B6702E">
              <w:rPr>
                <w:rFonts w:ascii="Arial" w:hAnsi="Arial" w:cs="Arial"/>
                <w:sz w:val="20"/>
                <w:szCs w:val="20"/>
              </w:rPr>
              <w:t>: Add/Drop Period</w:t>
            </w:r>
          </w:p>
          <w:p w14:paraId="242D28C0" w14:textId="5BB83C6F" w:rsidR="00B6702E" w:rsidRPr="00B6702E" w:rsidRDefault="00AF4EF9" w:rsidP="00B6702E">
            <w:pPr>
              <w:rPr>
                <w:rFonts w:ascii="Arial" w:hAnsi="Arial" w:cs="Arial"/>
                <w:sz w:val="20"/>
                <w:szCs w:val="20"/>
              </w:rPr>
            </w:pPr>
            <w:r>
              <w:rPr>
                <w:rFonts w:ascii="Arial" w:hAnsi="Arial" w:cs="Arial"/>
                <w:sz w:val="20"/>
                <w:szCs w:val="20"/>
              </w:rPr>
              <w:t>Friday, July 22</w:t>
            </w:r>
            <w:r w:rsidR="00B6702E" w:rsidRPr="00B6702E">
              <w:rPr>
                <w:rFonts w:ascii="Arial" w:hAnsi="Arial" w:cs="Arial"/>
                <w:sz w:val="20"/>
                <w:szCs w:val="20"/>
              </w:rPr>
              <w:t>: Withdrawal Deadline</w:t>
            </w:r>
          </w:p>
          <w:p w14:paraId="6C7391DF" w14:textId="734663B4" w:rsidR="00884395" w:rsidRPr="00C2322F" w:rsidRDefault="00AF4EF9" w:rsidP="00B6702E">
            <w:pPr>
              <w:rPr>
                <w:rFonts w:ascii="Arial" w:hAnsi="Arial" w:cs="Arial"/>
                <w:sz w:val="20"/>
                <w:szCs w:val="20"/>
              </w:rPr>
            </w:pPr>
            <w:r>
              <w:rPr>
                <w:rFonts w:ascii="Arial" w:hAnsi="Arial" w:cs="Arial"/>
                <w:sz w:val="20"/>
                <w:szCs w:val="20"/>
              </w:rPr>
              <w:t>Friday, August 5</w:t>
            </w:r>
            <w:r w:rsidR="00B6702E">
              <w:rPr>
                <w:rFonts w:ascii="Arial" w:hAnsi="Arial" w:cs="Arial"/>
                <w:sz w:val="20"/>
                <w:szCs w:val="20"/>
              </w:rPr>
              <w:t xml:space="preserve">, </w:t>
            </w:r>
            <w:r>
              <w:rPr>
                <w:rFonts w:ascii="Arial" w:hAnsi="Arial" w:cs="Arial"/>
                <w:sz w:val="20"/>
                <w:szCs w:val="20"/>
              </w:rPr>
              <w:t>9:45am</w:t>
            </w:r>
            <w:r w:rsidR="00B6702E" w:rsidRPr="00B6702E">
              <w:rPr>
                <w:rFonts w:ascii="Arial" w:hAnsi="Arial" w:cs="Arial"/>
                <w:sz w:val="20"/>
                <w:szCs w:val="20"/>
              </w:rPr>
              <w:t>: Final Exam</w:t>
            </w:r>
          </w:p>
        </w:tc>
      </w:tr>
      <w:tr w:rsidR="00884395" w:rsidRPr="00C2322F" w14:paraId="279A26EC" w14:textId="77777777" w:rsidTr="00D76428">
        <w:tc>
          <w:tcPr>
            <w:tcW w:w="10340" w:type="dxa"/>
            <w:gridSpan w:val="4"/>
            <w:shd w:val="clear" w:color="auto" w:fill="auto"/>
          </w:tcPr>
          <w:p w14:paraId="03BDE8D7" w14:textId="77777777" w:rsidR="00884395" w:rsidRPr="00C2322F" w:rsidRDefault="00884395" w:rsidP="00884395">
            <w:pPr>
              <w:rPr>
                <w:rFonts w:ascii="Arial" w:hAnsi="Arial" w:cs="Arial"/>
                <w:sz w:val="20"/>
              </w:rPr>
            </w:pPr>
          </w:p>
        </w:tc>
      </w:tr>
      <w:tr w:rsidR="00690F89" w:rsidRPr="00C2322F" w14:paraId="74B41844" w14:textId="77777777" w:rsidTr="00D76428">
        <w:tc>
          <w:tcPr>
            <w:tcW w:w="10340" w:type="dxa"/>
            <w:gridSpan w:val="4"/>
            <w:shd w:val="clear" w:color="auto" w:fill="auto"/>
          </w:tcPr>
          <w:p w14:paraId="3C6B1FEA" w14:textId="087F7D6E" w:rsidR="00690F89" w:rsidRPr="00C2322F" w:rsidRDefault="00690F89" w:rsidP="00690F89">
            <w:pPr>
              <w:jc w:val="center"/>
              <w:rPr>
                <w:rFonts w:ascii="Arial" w:hAnsi="Arial" w:cs="Arial"/>
                <w:i/>
                <w:sz w:val="18"/>
              </w:rPr>
            </w:pPr>
            <w:r w:rsidRPr="0006705C">
              <w:rPr>
                <w:rFonts w:ascii="Arial" w:hAnsi="Arial" w:cs="Arial"/>
                <w:b/>
                <w:sz w:val="20"/>
              </w:rPr>
              <w:t>Mental Health and Wellness Re</w:t>
            </w:r>
            <w:r>
              <w:rPr>
                <w:rFonts w:ascii="Arial" w:hAnsi="Arial" w:cs="Arial"/>
                <w:b/>
                <w:sz w:val="20"/>
              </w:rPr>
              <w:t>sources</w:t>
            </w:r>
          </w:p>
        </w:tc>
      </w:tr>
      <w:tr w:rsidR="00690F89" w:rsidRPr="00C2322F" w14:paraId="5FD5A0E4" w14:textId="77777777" w:rsidTr="00D76428">
        <w:trPr>
          <w:trHeight w:val="89"/>
        </w:trPr>
        <w:tc>
          <w:tcPr>
            <w:tcW w:w="10340" w:type="dxa"/>
            <w:gridSpan w:val="4"/>
            <w:shd w:val="clear" w:color="auto" w:fill="auto"/>
          </w:tcPr>
          <w:p w14:paraId="3C13D4C0" w14:textId="77777777" w:rsidR="00690F89" w:rsidRPr="00C2322F" w:rsidRDefault="00690F89" w:rsidP="00690F89">
            <w:pPr>
              <w:rPr>
                <w:rFonts w:ascii="Arial" w:hAnsi="Arial" w:cs="Arial"/>
                <w:sz w:val="10"/>
              </w:rPr>
            </w:pPr>
          </w:p>
        </w:tc>
      </w:tr>
      <w:tr w:rsidR="00690F89" w:rsidRPr="00C2322F" w14:paraId="4D1A955E" w14:textId="77777777" w:rsidTr="00D76428">
        <w:tc>
          <w:tcPr>
            <w:tcW w:w="10340" w:type="dxa"/>
            <w:gridSpan w:val="4"/>
            <w:shd w:val="clear" w:color="auto" w:fill="auto"/>
          </w:tcPr>
          <w:p w14:paraId="5AC5B352"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1"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6D7D3291" w14:textId="136B324E" w:rsidR="00690F89" w:rsidRPr="00C22D31" w:rsidRDefault="00690F89" w:rsidP="00690F89">
            <w:pPr>
              <w:numPr>
                <w:ilvl w:val="0"/>
                <w:numId w:val="5"/>
              </w:numPr>
              <w:rPr>
                <w:rFonts w:ascii="Arial" w:hAnsi="Arial" w:cs="Arial"/>
                <w:sz w:val="20"/>
              </w:rPr>
            </w:pPr>
            <w:r w:rsidRPr="00C22D31">
              <w:rPr>
                <w:rFonts w:ascii="Arial" w:hAnsi="Arial" w:cs="Arial"/>
                <w:i/>
                <w:iCs/>
                <w:sz w:val="20"/>
              </w:rPr>
              <w:lastRenderedPageBreak/>
              <w:t>UGA has several resources for a stuent seeking mental health services (</w:t>
            </w:r>
            <w:hyperlink r:id="rId12"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3"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7709E673"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4"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218A2E2F" w14:textId="51DABAB2" w:rsidR="00690F89" w:rsidRPr="00C2322F" w:rsidRDefault="00690F89" w:rsidP="00690F89">
            <w:pPr>
              <w:rPr>
                <w:rFonts w:ascii="Arial" w:hAnsi="Arial" w:cs="Arial"/>
                <w:sz w:val="20"/>
              </w:rPr>
            </w:pPr>
            <w:r w:rsidRPr="00FE5457">
              <w:rPr>
                <w:rFonts w:ascii="Arial" w:hAnsi="Arial" w:cs="Arial"/>
                <w:i/>
                <w:iCs/>
                <w:sz w:val="20"/>
              </w:rPr>
              <w:t>Additional resources can be accessed through the UGA App.</w:t>
            </w:r>
          </w:p>
        </w:tc>
      </w:tr>
      <w:tr w:rsidR="00D6678E" w:rsidRPr="00C2322F" w14:paraId="4A5254B1" w14:textId="77777777" w:rsidTr="00D76428">
        <w:tc>
          <w:tcPr>
            <w:tcW w:w="10340" w:type="dxa"/>
            <w:gridSpan w:val="4"/>
            <w:shd w:val="clear" w:color="auto" w:fill="auto"/>
          </w:tcPr>
          <w:p w14:paraId="0FE11E41" w14:textId="77777777" w:rsidR="00D6678E" w:rsidRPr="00C2322F" w:rsidRDefault="00D6678E" w:rsidP="00884395">
            <w:pPr>
              <w:rPr>
                <w:rFonts w:ascii="Arial" w:hAnsi="Arial" w:cs="Arial"/>
                <w:sz w:val="20"/>
              </w:rPr>
            </w:pPr>
          </w:p>
        </w:tc>
      </w:tr>
      <w:tr w:rsidR="007C7C3F" w14:paraId="1F22AC6F" w14:textId="77777777" w:rsidTr="00943ED6">
        <w:tc>
          <w:tcPr>
            <w:tcW w:w="10340" w:type="dxa"/>
            <w:gridSpan w:val="4"/>
            <w:shd w:val="clear" w:color="auto" w:fill="auto"/>
          </w:tcPr>
          <w:p w14:paraId="5387E32A" w14:textId="77777777" w:rsidR="007C7C3F" w:rsidRDefault="007C7C3F" w:rsidP="00943ED6">
            <w:pPr>
              <w:jc w:val="center"/>
              <w:rPr>
                <w:rFonts w:ascii="Arial" w:hAnsi="Arial" w:cs="Arial"/>
                <w:b/>
                <w:sz w:val="20"/>
              </w:rPr>
            </w:pPr>
          </w:p>
        </w:tc>
      </w:tr>
      <w:tr w:rsidR="00D6678E" w14:paraId="30DCBDAB" w14:textId="77777777" w:rsidTr="00943ED6">
        <w:tc>
          <w:tcPr>
            <w:tcW w:w="10340" w:type="dxa"/>
            <w:gridSpan w:val="4"/>
            <w:shd w:val="clear" w:color="auto" w:fill="auto"/>
          </w:tcPr>
          <w:p w14:paraId="103DE090" w14:textId="77777777" w:rsidR="00D6678E" w:rsidRDefault="00D6678E" w:rsidP="00943ED6">
            <w:pPr>
              <w:jc w:val="center"/>
              <w:rPr>
                <w:rFonts w:ascii="Arial" w:hAnsi="Arial" w:cs="Arial"/>
                <w:b/>
                <w:sz w:val="20"/>
              </w:rPr>
            </w:pPr>
            <w:r>
              <w:rPr>
                <w:rFonts w:ascii="Arial" w:hAnsi="Arial" w:cs="Arial"/>
                <w:b/>
                <w:sz w:val="20"/>
              </w:rPr>
              <w:t>Syllabus as a Contract</w:t>
            </w:r>
          </w:p>
        </w:tc>
      </w:tr>
      <w:tr w:rsidR="00690F89" w:rsidRPr="006C6BF2" w14:paraId="04FB348E" w14:textId="77777777" w:rsidTr="00943ED6">
        <w:tc>
          <w:tcPr>
            <w:tcW w:w="10340" w:type="dxa"/>
            <w:gridSpan w:val="4"/>
            <w:shd w:val="clear" w:color="auto" w:fill="auto"/>
          </w:tcPr>
          <w:p w14:paraId="1F651C4B" w14:textId="62972888" w:rsidR="00690F89" w:rsidRPr="006C6BF2" w:rsidRDefault="00690F89" w:rsidP="00690F89">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D6678E" w14:paraId="29B1385C" w14:textId="77777777" w:rsidTr="00943ED6">
        <w:tc>
          <w:tcPr>
            <w:tcW w:w="10340" w:type="dxa"/>
            <w:gridSpan w:val="4"/>
            <w:shd w:val="clear" w:color="auto" w:fill="auto"/>
          </w:tcPr>
          <w:p w14:paraId="341BCDC1" w14:textId="77777777" w:rsidR="00D6678E" w:rsidRDefault="00D6678E" w:rsidP="00943ED6">
            <w:pPr>
              <w:jc w:val="center"/>
              <w:rPr>
                <w:rFonts w:ascii="Arial" w:hAnsi="Arial" w:cs="Arial"/>
                <w:b/>
                <w:sz w:val="20"/>
              </w:rPr>
            </w:pPr>
          </w:p>
        </w:tc>
      </w:tr>
      <w:tr w:rsidR="00690F89" w:rsidRPr="00B0295F" w14:paraId="4150B813" w14:textId="77777777" w:rsidTr="00943ED6">
        <w:tc>
          <w:tcPr>
            <w:tcW w:w="10340" w:type="dxa"/>
            <w:gridSpan w:val="4"/>
            <w:shd w:val="clear" w:color="auto" w:fill="auto"/>
          </w:tcPr>
          <w:p w14:paraId="0ECBF3B2" w14:textId="395A0DF4" w:rsidR="00690F89" w:rsidRPr="00B0295F" w:rsidRDefault="00690F89" w:rsidP="00690F89">
            <w:pPr>
              <w:jc w:val="center"/>
              <w:rPr>
                <w:rFonts w:ascii="Arial" w:hAnsi="Arial" w:cs="Arial"/>
                <w:b/>
                <w:sz w:val="20"/>
              </w:rPr>
            </w:pPr>
            <w:r>
              <w:rPr>
                <w:rFonts w:ascii="Arial" w:hAnsi="Arial" w:cs="Arial"/>
                <w:b/>
                <w:sz w:val="20"/>
              </w:rPr>
              <w:t>A Word of Thanks</w:t>
            </w:r>
          </w:p>
        </w:tc>
      </w:tr>
      <w:tr w:rsidR="00690F89" w:rsidRPr="00B0295F" w14:paraId="16EA60A2" w14:textId="77777777" w:rsidTr="00943ED6">
        <w:tc>
          <w:tcPr>
            <w:tcW w:w="10340" w:type="dxa"/>
            <w:gridSpan w:val="4"/>
            <w:shd w:val="clear" w:color="auto" w:fill="auto"/>
          </w:tcPr>
          <w:p w14:paraId="0994866B" w14:textId="77777777" w:rsidR="00690F89" w:rsidRDefault="00690F89" w:rsidP="00690F89">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Joseph Ura, John Robertson, Nicholas Conway, Todd Curry, Grier Stephenson, and Teena Wilhelm. I am also grateful to the students of previous courses whose feedback has helped me improve this syllabus.</w:t>
            </w:r>
          </w:p>
          <w:p w14:paraId="21F56721" w14:textId="77777777" w:rsidR="00690F89" w:rsidRDefault="00690F89" w:rsidP="00690F89">
            <w:pPr>
              <w:rPr>
                <w:rFonts w:ascii="Arial" w:hAnsi="Arial" w:cs="Arial"/>
                <w:sz w:val="20"/>
              </w:rPr>
            </w:pPr>
          </w:p>
          <w:p w14:paraId="7B5F6D20" w14:textId="5E820F90" w:rsidR="00690F89" w:rsidRPr="00B0295F" w:rsidRDefault="00690F89" w:rsidP="00690F89">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D6678E" w:rsidRPr="00C2322F" w14:paraId="1F15F153" w14:textId="77777777" w:rsidTr="00D76428">
        <w:tc>
          <w:tcPr>
            <w:tcW w:w="10340" w:type="dxa"/>
            <w:gridSpan w:val="4"/>
            <w:shd w:val="clear" w:color="auto" w:fill="auto"/>
          </w:tcPr>
          <w:p w14:paraId="3889F201" w14:textId="77777777" w:rsidR="00D6678E" w:rsidRDefault="00D6678E" w:rsidP="00B0295F">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3E4A55" w:rsidRPr="00C2322F" w14:paraId="7DEECB41" w14:textId="77777777" w:rsidTr="00D76428">
        <w:tc>
          <w:tcPr>
            <w:tcW w:w="10340" w:type="dxa"/>
            <w:shd w:val="clear" w:color="auto" w:fill="auto"/>
          </w:tcPr>
          <w:p w14:paraId="2336482A" w14:textId="69AA14BB" w:rsidR="003E4A55" w:rsidRDefault="00665094" w:rsidP="003E4A55">
            <w:pPr>
              <w:jc w:val="center"/>
              <w:rPr>
                <w:rFonts w:ascii="Arial" w:hAnsi="Arial" w:cs="Arial"/>
                <w:b/>
                <w:sz w:val="20"/>
              </w:rPr>
            </w:pPr>
            <w:r>
              <w:rPr>
                <w:rFonts w:ascii="Arial" w:hAnsi="Arial" w:cs="Arial"/>
                <w:b/>
                <w:sz w:val="20"/>
              </w:rPr>
              <w:lastRenderedPageBreak/>
              <w:t>Course Topics</w:t>
            </w:r>
          </w:p>
          <w:p w14:paraId="08A35B36" w14:textId="747B3797" w:rsidR="003E4A55" w:rsidRPr="00C2322F" w:rsidRDefault="003E4A55" w:rsidP="003E4A55">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59129711" w:rsidR="00B0295F" w:rsidRPr="00A16AB6" w:rsidRDefault="00B0295F" w:rsidP="00B0295F">
            <w:pPr>
              <w:rPr>
                <w:rFonts w:ascii="Arial" w:hAnsi="Arial" w:cs="Arial"/>
                <w:b/>
                <w:sz w:val="20"/>
              </w:rPr>
            </w:pPr>
            <w:r>
              <w:rPr>
                <w:rFonts w:ascii="Arial" w:hAnsi="Arial" w:cs="Arial"/>
                <w:b/>
                <w:sz w:val="20"/>
              </w:rPr>
              <w:t>Basics of Constitutional Law</w:t>
            </w:r>
            <w:r w:rsidR="00BB48B0">
              <w:rPr>
                <w:rFonts w:ascii="Arial" w:hAnsi="Arial" w:cs="Arial"/>
                <w:b/>
                <w:sz w:val="20"/>
              </w:rPr>
              <w:t xml:space="preserve"> – Chapter 1</w:t>
            </w:r>
          </w:p>
          <w:p w14:paraId="30E37D7E" w14:textId="01594757"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Judicial Review and Incorporation</w:t>
            </w:r>
            <w:r w:rsidR="00BB48B0">
              <w:rPr>
                <w:rFonts w:ascii="Arial" w:hAnsi="Arial" w:cs="Arial"/>
                <w:b/>
                <w:sz w:val="20"/>
              </w:rPr>
              <w:t xml:space="preserve"> – Chapter 2-3</w:t>
            </w:r>
          </w:p>
          <w:p w14:paraId="5AFFDC10" w14:textId="77777777" w:rsidR="00C7508F" w:rsidRDefault="00C7508F" w:rsidP="00C7508F">
            <w:pPr>
              <w:rPr>
                <w:rFonts w:ascii="Arial" w:hAnsi="Arial" w:cs="Arial"/>
                <w:sz w:val="20"/>
              </w:rPr>
            </w:pPr>
            <w:r>
              <w:rPr>
                <w:rFonts w:ascii="Arial" w:hAnsi="Arial" w:cs="Arial"/>
                <w:sz w:val="20"/>
              </w:rPr>
              <w:t xml:space="preserve">Cases: </w:t>
            </w:r>
            <w:r w:rsidRPr="004E61E2">
              <w:rPr>
                <w:rFonts w:ascii="Arial" w:hAnsi="Arial" w:cs="Arial"/>
                <w:i/>
                <w:sz w:val="20"/>
              </w:rPr>
              <w:t xml:space="preserve">Marbury v. Madison; </w:t>
            </w:r>
            <w:r>
              <w:rPr>
                <w:rFonts w:ascii="Arial" w:hAnsi="Arial" w:cs="Arial"/>
                <w:i/>
                <w:sz w:val="20"/>
              </w:rPr>
              <w:t>Martin v. Hunter’s Lessee</w:t>
            </w:r>
            <w:r w:rsidRPr="004E61E2">
              <w:rPr>
                <w:rFonts w:ascii="Arial" w:hAnsi="Arial" w:cs="Arial"/>
                <w:i/>
                <w:sz w:val="20"/>
              </w:rPr>
              <w:t>; Barron v. Baltimore;</w:t>
            </w:r>
            <w:r>
              <w:rPr>
                <w:rFonts w:ascii="Arial" w:hAnsi="Arial" w:cs="Arial"/>
                <w:i/>
                <w:sz w:val="20"/>
              </w:rPr>
              <w:t xml:space="preserve"> </w:t>
            </w:r>
            <w:r w:rsidRPr="004E61E2">
              <w:rPr>
                <w:rFonts w:ascii="Arial" w:hAnsi="Arial" w:cs="Arial"/>
                <w:i/>
                <w:sz w:val="20"/>
              </w:rPr>
              <w:t xml:space="preserve">Hurtado v. California; </w:t>
            </w:r>
            <w:r>
              <w:rPr>
                <w:rFonts w:ascii="Arial" w:hAnsi="Arial" w:cs="Arial"/>
                <w:i/>
                <w:sz w:val="20"/>
              </w:rPr>
              <w:t xml:space="preserve">Maxwell v. Dow; DeJonge v. Oregon; </w:t>
            </w:r>
            <w:r w:rsidRPr="004E61E2">
              <w:rPr>
                <w:rFonts w:ascii="Arial" w:hAnsi="Arial" w:cs="Arial"/>
                <w:i/>
                <w:sz w:val="20"/>
              </w:rPr>
              <w:t>Palko v. Connecticut; Duncan v. Louisiana</w:t>
            </w:r>
          </w:p>
          <w:p w14:paraId="40541ABF" w14:textId="77777777" w:rsidR="005565CB" w:rsidRDefault="005565CB" w:rsidP="005565CB">
            <w:pPr>
              <w:rPr>
                <w:rFonts w:ascii="Arial" w:hAnsi="Arial" w:cs="Arial"/>
                <w:sz w:val="20"/>
              </w:rPr>
            </w:pPr>
          </w:p>
          <w:p w14:paraId="7592F410" w14:textId="3CEA3DFF" w:rsidR="005565CB" w:rsidRDefault="005565CB" w:rsidP="005565CB">
            <w:pPr>
              <w:rPr>
                <w:rFonts w:ascii="Arial" w:hAnsi="Arial" w:cs="Arial"/>
                <w:b/>
                <w:sz w:val="20"/>
              </w:rPr>
            </w:pPr>
            <w:r>
              <w:rPr>
                <w:rFonts w:ascii="Arial" w:hAnsi="Arial" w:cs="Arial"/>
                <w:b/>
                <w:sz w:val="20"/>
              </w:rPr>
              <w:t>Establishment of Religion</w:t>
            </w:r>
            <w:r w:rsidR="00BB48B0">
              <w:rPr>
                <w:rFonts w:ascii="Arial" w:hAnsi="Arial" w:cs="Arial"/>
                <w:b/>
                <w:sz w:val="20"/>
              </w:rPr>
              <w:t xml:space="preserve"> – Chapter 4</w:t>
            </w:r>
          </w:p>
          <w:p w14:paraId="21AA127C" w14:textId="77777777" w:rsidR="005565CB" w:rsidRPr="00CB762A" w:rsidRDefault="005565CB" w:rsidP="005565CB">
            <w:pPr>
              <w:rPr>
                <w:rFonts w:ascii="Arial" w:hAnsi="Arial" w:cs="Arial"/>
                <w:sz w:val="20"/>
              </w:rPr>
            </w:pPr>
            <w:r>
              <w:rPr>
                <w:rFonts w:ascii="Arial" w:hAnsi="Arial" w:cs="Arial"/>
                <w:sz w:val="20"/>
              </w:rPr>
              <w:t xml:space="preserve">Cases: </w:t>
            </w:r>
            <w:r w:rsidRPr="004E61E2">
              <w:rPr>
                <w:rFonts w:ascii="Arial" w:hAnsi="Arial" w:cs="Arial"/>
                <w:i/>
                <w:sz w:val="20"/>
              </w:rPr>
              <w:t>Everson v. Board of Education; School District of Abington Township v. Schempp; Lemon v. Kurtzman; Edwards v. Aguillard; Lee v. Weisman; Van Orden v. Perry</w:t>
            </w:r>
          </w:p>
          <w:p w14:paraId="1493DE84" w14:textId="77777777" w:rsidR="005565CB" w:rsidRDefault="005565CB" w:rsidP="005565CB">
            <w:pPr>
              <w:rPr>
                <w:rFonts w:ascii="Arial" w:hAnsi="Arial" w:cs="Arial"/>
                <w:sz w:val="20"/>
              </w:rPr>
            </w:pPr>
          </w:p>
          <w:p w14:paraId="07CC1BAA" w14:textId="248DB802" w:rsidR="005565CB" w:rsidRDefault="005565CB" w:rsidP="005565CB">
            <w:pPr>
              <w:rPr>
                <w:rFonts w:ascii="Arial" w:hAnsi="Arial" w:cs="Arial"/>
                <w:b/>
                <w:sz w:val="20"/>
              </w:rPr>
            </w:pPr>
            <w:r>
              <w:rPr>
                <w:rFonts w:ascii="Arial" w:hAnsi="Arial" w:cs="Arial"/>
                <w:b/>
                <w:sz w:val="20"/>
              </w:rPr>
              <w:t>Free Exercise of Religion</w:t>
            </w:r>
            <w:r w:rsidR="00665094">
              <w:rPr>
                <w:rFonts w:ascii="Arial" w:hAnsi="Arial" w:cs="Arial"/>
                <w:b/>
                <w:sz w:val="20"/>
              </w:rPr>
              <w:t xml:space="preserve"> </w:t>
            </w:r>
            <w:r w:rsidR="00BB48B0">
              <w:rPr>
                <w:rFonts w:ascii="Arial" w:hAnsi="Arial" w:cs="Arial"/>
                <w:b/>
                <w:sz w:val="20"/>
              </w:rPr>
              <w:t>– Chapter 4</w:t>
            </w:r>
          </w:p>
          <w:p w14:paraId="7E42D10B" w14:textId="7B657CB7" w:rsidR="00754925" w:rsidRPr="00CB762A" w:rsidRDefault="005565CB" w:rsidP="00754925">
            <w:pPr>
              <w:rPr>
                <w:rFonts w:ascii="Arial" w:hAnsi="Arial" w:cs="Arial"/>
                <w:sz w:val="20"/>
              </w:rPr>
            </w:pPr>
            <w:r>
              <w:rPr>
                <w:rFonts w:ascii="Arial" w:hAnsi="Arial" w:cs="Arial"/>
                <w:sz w:val="20"/>
              </w:rPr>
              <w:t xml:space="preserve">Cases: </w:t>
            </w:r>
            <w:r w:rsidRPr="004E61E2">
              <w:rPr>
                <w:rFonts w:ascii="Arial" w:hAnsi="Arial" w:cs="Arial"/>
                <w:i/>
                <w:sz w:val="20"/>
              </w:rPr>
              <w:t xml:space="preserve">Cantwell v. Connecticut; Sherbert v. Verner; Wisconsin v. Yoder; Employment Division, Department of Human Services of Oregon v. Smith; </w:t>
            </w:r>
            <w:r w:rsidR="00C7508F" w:rsidRPr="00371155">
              <w:rPr>
                <w:rFonts w:ascii="Arial" w:hAnsi="Arial" w:cs="Arial"/>
                <w:i/>
                <w:sz w:val="20"/>
              </w:rPr>
              <w:t>Masterpiece Cake Shop v. Colorado Commission</w:t>
            </w:r>
          </w:p>
          <w:p w14:paraId="5DE5900B" w14:textId="77777777" w:rsidR="005565CB" w:rsidRDefault="005565CB" w:rsidP="005565CB">
            <w:pPr>
              <w:rPr>
                <w:rFonts w:ascii="Arial" w:hAnsi="Arial" w:cs="Arial"/>
                <w:sz w:val="20"/>
              </w:rPr>
            </w:pPr>
          </w:p>
          <w:p w14:paraId="4AD3E018" w14:textId="0753CE4A" w:rsidR="005565CB" w:rsidRDefault="005565CB" w:rsidP="005565CB">
            <w:pPr>
              <w:rPr>
                <w:rFonts w:ascii="Arial" w:hAnsi="Arial" w:cs="Arial"/>
                <w:b/>
                <w:sz w:val="20"/>
              </w:rPr>
            </w:pPr>
            <w:r w:rsidRPr="00CB762A">
              <w:rPr>
                <w:rFonts w:ascii="Arial" w:hAnsi="Arial" w:cs="Arial"/>
                <w:b/>
                <w:sz w:val="20"/>
              </w:rPr>
              <w:t>Freedom of Speech</w:t>
            </w:r>
            <w:r w:rsidR="00665094">
              <w:rPr>
                <w:rFonts w:ascii="Arial" w:hAnsi="Arial" w:cs="Arial"/>
                <w:b/>
                <w:sz w:val="20"/>
              </w:rPr>
              <w:t xml:space="preserve"> </w:t>
            </w:r>
            <w:r w:rsidR="00BB48B0">
              <w:rPr>
                <w:rFonts w:ascii="Arial" w:hAnsi="Arial" w:cs="Arial"/>
                <w:b/>
                <w:sz w:val="20"/>
              </w:rPr>
              <w:t>– Chapter 5</w:t>
            </w:r>
          </w:p>
          <w:p w14:paraId="3D48DA5A" w14:textId="3148251D" w:rsidR="005565CB" w:rsidRPr="008351FE" w:rsidRDefault="005565CB" w:rsidP="005565CB">
            <w:pPr>
              <w:rPr>
                <w:rFonts w:ascii="Arial" w:hAnsi="Arial" w:cs="Arial"/>
                <w:sz w:val="20"/>
              </w:rPr>
            </w:pPr>
            <w:r>
              <w:rPr>
                <w:rFonts w:ascii="Arial" w:hAnsi="Arial" w:cs="Arial"/>
                <w:sz w:val="20"/>
              </w:rPr>
              <w:t xml:space="preserve">Cases: </w:t>
            </w:r>
            <w:r w:rsidR="00665094" w:rsidRPr="004E61E2">
              <w:rPr>
                <w:rFonts w:ascii="Arial" w:hAnsi="Arial" w:cs="Arial"/>
                <w:i/>
                <w:sz w:val="20"/>
              </w:rPr>
              <w:t>Schenck v. United States; Gitlow v. New York</w:t>
            </w:r>
            <w:r w:rsidR="00665094">
              <w:rPr>
                <w:rFonts w:ascii="Arial" w:hAnsi="Arial" w:cs="Arial"/>
                <w:sz w:val="20"/>
              </w:rPr>
              <w:t xml:space="preserve">; </w:t>
            </w:r>
            <w:r w:rsidR="00CF247E" w:rsidRPr="004E61E2">
              <w:rPr>
                <w:rFonts w:ascii="Arial" w:hAnsi="Arial" w:cs="Arial"/>
                <w:i/>
                <w:sz w:val="20"/>
              </w:rPr>
              <w:t>Dennis v. United States; Brandenburg v. Ohio; Texas v. Johnson</w:t>
            </w:r>
            <w:r w:rsidR="00CF247E">
              <w:rPr>
                <w:rFonts w:ascii="Arial" w:hAnsi="Arial" w:cs="Arial"/>
                <w:i/>
                <w:sz w:val="20"/>
              </w:rPr>
              <w:t xml:space="preserve">; </w:t>
            </w:r>
            <w:r w:rsidRPr="004E61E2">
              <w:rPr>
                <w:rFonts w:ascii="Arial" w:hAnsi="Arial" w:cs="Arial"/>
                <w:i/>
                <w:sz w:val="20"/>
              </w:rPr>
              <w:t>West Virginia State Board of Education v. Barnette; Tinker v. Des Moines Independent Community School District; Morse v. Frederick; New York v. Ferber</w:t>
            </w:r>
            <w:r>
              <w:rPr>
                <w:rFonts w:ascii="Arial" w:hAnsi="Arial" w:cs="Arial"/>
                <w:i/>
                <w:sz w:val="20"/>
              </w:rPr>
              <w:t>;</w:t>
            </w:r>
            <w:r w:rsidRPr="00530B71">
              <w:rPr>
                <w:rFonts w:ascii="Arial" w:hAnsi="Arial" w:cs="Arial"/>
                <w:i/>
                <w:sz w:val="20"/>
              </w:rPr>
              <w:t xml:space="preserve"> </w:t>
            </w:r>
            <w:r w:rsidRPr="004E61E2">
              <w:rPr>
                <w:rFonts w:ascii="Arial" w:hAnsi="Arial" w:cs="Arial"/>
                <w:i/>
                <w:sz w:val="20"/>
              </w:rPr>
              <w:t>Miller v. California; R.A.V.</w:t>
            </w:r>
            <w:r>
              <w:rPr>
                <w:rFonts w:ascii="Arial" w:hAnsi="Arial" w:cs="Arial"/>
                <w:i/>
                <w:sz w:val="20"/>
              </w:rPr>
              <w:t xml:space="preserve"> v. City of St. Paul, Minnesota</w:t>
            </w:r>
          </w:p>
          <w:p w14:paraId="2EED7C2C" w14:textId="77777777" w:rsidR="005565CB" w:rsidRDefault="005565CB" w:rsidP="005565CB">
            <w:pPr>
              <w:rPr>
                <w:rFonts w:ascii="Arial" w:hAnsi="Arial" w:cs="Arial"/>
                <w:sz w:val="20"/>
              </w:rPr>
            </w:pPr>
          </w:p>
          <w:p w14:paraId="67C176C7" w14:textId="487FC0C7" w:rsidR="005565CB" w:rsidRPr="008351FE" w:rsidRDefault="005565CB" w:rsidP="005565CB">
            <w:pPr>
              <w:rPr>
                <w:rFonts w:ascii="Arial" w:hAnsi="Arial" w:cs="Arial"/>
                <w:b/>
                <w:sz w:val="20"/>
              </w:rPr>
            </w:pPr>
            <w:r w:rsidRPr="008351FE">
              <w:rPr>
                <w:rFonts w:ascii="Arial" w:hAnsi="Arial" w:cs="Arial"/>
                <w:b/>
                <w:sz w:val="20"/>
              </w:rPr>
              <w:t>Freedom of the Press</w:t>
            </w:r>
            <w:r w:rsidR="00BB48B0">
              <w:rPr>
                <w:rFonts w:ascii="Arial" w:hAnsi="Arial" w:cs="Arial"/>
                <w:b/>
                <w:sz w:val="20"/>
              </w:rPr>
              <w:t xml:space="preserve"> – Chapter 6-7</w:t>
            </w:r>
          </w:p>
          <w:p w14:paraId="03F6A57C" w14:textId="14D2E149" w:rsidR="005565CB" w:rsidRDefault="005565CB" w:rsidP="005565CB">
            <w:pPr>
              <w:rPr>
                <w:rFonts w:ascii="Arial" w:hAnsi="Arial" w:cs="Arial"/>
                <w:i/>
                <w:sz w:val="20"/>
              </w:rPr>
            </w:pPr>
            <w:r>
              <w:rPr>
                <w:rFonts w:ascii="Arial" w:hAnsi="Arial" w:cs="Arial"/>
                <w:sz w:val="20"/>
              </w:rPr>
              <w:t xml:space="preserve">Cases: </w:t>
            </w:r>
            <w:r w:rsidRPr="004E61E2">
              <w:rPr>
                <w:rFonts w:ascii="Arial" w:hAnsi="Arial" w:cs="Arial"/>
                <w:i/>
                <w:sz w:val="20"/>
              </w:rPr>
              <w:t>Near v. Minnesota; New York Times v. United States; New York Times v. Sullivan;</w:t>
            </w:r>
            <w:r w:rsidRPr="00530B71">
              <w:rPr>
                <w:rFonts w:ascii="Arial" w:hAnsi="Arial" w:cs="Arial"/>
                <w:i/>
                <w:sz w:val="20"/>
              </w:rPr>
              <w:t xml:space="preserve"> </w:t>
            </w:r>
            <w:r w:rsidRPr="004E61E2">
              <w:rPr>
                <w:rFonts w:ascii="Arial" w:hAnsi="Arial" w:cs="Arial"/>
                <w:i/>
                <w:sz w:val="20"/>
              </w:rPr>
              <w:t>Branzbur</w:t>
            </w:r>
            <w:r>
              <w:rPr>
                <w:rFonts w:ascii="Arial" w:hAnsi="Arial" w:cs="Arial"/>
                <w:i/>
                <w:sz w:val="20"/>
              </w:rPr>
              <w:t>g v. Hayes;</w:t>
            </w:r>
            <w:r w:rsidRPr="004E61E2">
              <w:rPr>
                <w:rFonts w:ascii="Arial" w:hAnsi="Arial" w:cs="Arial"/>
                <w:i/>
                <w:sz w:val="20"/>
              </w:rPr>
              <w:t xml:space="preserve"> Hazelwood School District v. Kuhlmeier; Hustler Magazine v. Falwell</w:t>
            </w:r>
          </w:p>
          <w:p w14:paraId="79197CDE" w14:textId="40322E7C" w:rsidR="00BE77BB" w:rsidRDefault="00BE77BB" w:rsidP="005565CB">
            <w:pPr>
              <w:rPr>
                <w:rFonts w:ascii="Arial" w:hAnsi="Arial" w:cs="Arial"/>
                <w:i/>
                <w:sz w:val="20"/>
              </w:rPr>
            </w:pPr>
          </w:p>
          <w:p w14:paraId="602E1AD8" w14:textId="681365E9" w:rsidR="00754925" w:rsidRPr="00754925" w:rsidRDefault="00754925" w:rsidP="005565CB">
            <w:pPr>
              <w:rPr>
                <w:rFonts w:ascii="Arial" w:hAnsi="Arial" w:cs="Arial"/>
                <w:b/>
                <w:bCs/>
                <w:iCs/>
                <w:sz w:val="20"/>
              </w:rPr>
            </w:pPr>
            <w:r>
              <w:rPr>
                <w:rFonts w:ascii="Arial" w:hAnsi="Arial" w:cs="Arial"/>
                <w:b/>
                <w:bCs/>
                <w:iCs/>
                <w:sz w:val="20"/>
              </w:rPr>
              <w:t>Freedom of Assembly, Association, and the Second Amendment</w:t>
            </w:r>
            <w:r w:rsidR="00BB48B0">
              <w:rPr>
                <w:rFonts w:ascii="Arial" w:hAnsi="Arial" w:cs="Arial"/>
                <w:b/>
                <w:bCs/>
                <w:iCs/>
                <w:sz w:val="20"/>
              </w:rPr>
              <w:t xml:space="preserve"> – Chapters 8, 5</w:t>
            </w:r>
          </w:p>
          <w:p w14:paraId="2BBCD847" w14:textId="4E02C10E" w:rsidR="005565CB" w:rsidRDefault="00BB48B0" w:rsidP="005565CB">
            <w:pPr>
              <w:rPr>
                <w:rFonts w:ascii="Arial" w:hAnsi="Arial" w:cs="Arial"/>
                <w:i/>
                <w:sz w:val="20"/>
              </w:rPr>
            </w:pPr>
            <w:r>
              <w:rPr>
                <w:rFonts w:ascii="Arial" w:hAnsi="Arial" w:cs="Arial"/>
                <w:iCs/>
                <w:sz w:val="20"/>
              </w:rPr>
              <w:t xml:space="preserve">Cases: </w:t>
            </w:r>
            <w:r w:rsidR="004F321B" w:rsidRPr="00BB48B0">
              <w:rPr>
                <w:rFonts w:ascii="Arial" w:hAnsi="Arial" w:cs="Arial"/>
                <w:i/>
                <w:sz w:val="20"/>
              </w:rPr>
              <w:t xml:space="preserve">Hague v. Committee for Industrial Organization; Gregory v. City of Chicago; </w:t>
            </w:r>
            <w:r w:rsidR="00C44D48" w:rsidRPr="00BB48B0">
              <w:rPr>
                <w:rFonts w:ascii="Arial" w:hAnsi="Arial" w:cs="Arial"/>
                <w:i/>
                <w:sz w:val="20"/>
              </w:rPr>
              <w:t>Snyder v. Phelps</w:t>
            </w:r>
            <w:r w:rsidR="00CF247E" w:rsidRPr="00BB48B0">
              <w:rPr>
                <w:rFonts w:ascii="Arial" w:hAnsi="Arial" w:cs="Arial"/>
                <w:i/>
                <w:sz w:val="20"/>
              </w:rPr>
              <w:t>;</w:t>
            </w:r>
            <w:r w:rsidR="00CF247E">
              <w:rPr>
                <w:rFonts w:ascii="Arial" w:hAnsi="Arial" w:cs="Arial"/>
                <w:iCs/>
                <w:sz w:val="20"/>
              </w:rPr>
              <w:t xml:space="preserve"> </w:t>
            </w:r>
            <w:r w:rsidR="00CF247E" w:rsidRPr="004E61E2">
              <w:rPr>
                <w:rFonts w:ascii="Arial" w:hAnsi="Arial" w:cs="Arial"/>
                <w:i/>
                <w:sz w:val="20"/>
              </w:rPr>
              <w:t>Roberts v. United States</w:t>
            </w:r>
            <w:r w:rsidR="00CF247E">
              <w:rPr>
                <w:rFonts w:ascii="Arial" w:hAnsi="Arial" w:cs="Arial"/>
                <w:i/>
                <w:sz w:val="20"/>
              </w:rPr>
              <w:t xml:space="preserve"> Jaycees</w:t>
            </w:r>
            <w:r w:rsidR="00CF247E" w:rsidRPr="004E61E2">
              <w:rPr>
                <w:rFonts w:ascii="Arial" w:hAnsi="Arial" w:cs="Arial"/>
                <w:i/>
                <w:sz w:val="20"/>
              </w:rPr>
              <w:t>; Boy Scouts of America v. Dale; Christian Legal Society v. Martinez</w:t>
            </w:r>
            <w:r w:rsidR="00CF247E">
              <w:rPr>
                <w:rFonts w:ascii="Arial" w:hAnsi="Arial" w:cs="Arial"/>
                <w:i/>
                <w:sz w:val="20"/>
              </w:rPr>
              <w:t xml:space="preserve">; </w:t>
            </w:r>
            <w:r w:rsidR="005565CB">
              <w:rPr>
                <w:rFonts w:ascii="Arial" w:hAnsi="Arial" w:cs="Arial"/>
                <w:i/>
                <w:sz w:val="20"/>
              </w:rPr>
              <w:t xml:space="preserve">United States v. Miller; </w:t>
            </w:r>
            <w:r w:rsidR="005565CB" w:rsidRPr="00280197">
              <w:rPr>
                <w:rFonts w:ascii="Arial" w:hAnsi="Arial" w:cs="Arial"/>
                <w:i/>
                <w:sz w:val="20"/>
              </w:rPr>
              <w:t>District of Columbia v. Heller</w:t>
            </w:r>
            <w:r w:rsidR="00092FA7">
              <w:rPr>
                <w:rFonts w:ascii="Arial" w:hAnsi="Arial" w:cs="Arial"/>
                <w:i/>
                <w:sz w:val="20"/>
              </w:rPr>
              <w:t xml:space="preserve">; </w:t>
            </w:r>
            <w:r w:rsidR="00092FA7" w:rsidRPr="00092FA7">
              <w:rPr>
                <w:rFonts w:ascii="Arial" w:hAnsi="Arial" w:cs="Arial"/>
                <w:i/>
                <w:sz w:val="20"/>
              </w:rPr>
              <w:t>McDonald v. City of Chicago</w:t>
            </w:r>
          </w:p>
          <w:p w14:paraId="61576C44" w14:textId="012B1BD8" w:rsidR="005565CB" w:rsidRDefault="005565CB" w:rsidP="005565CB">
            <w:pPr>
              <w:rPr>
                <w:rFonts w:ascii="Arial" w:hAnsi="Arial" w:cs="Arial"/>
                <w:iCs/>
                <w:sz w:val="20"/>
              </w:rPr>
            </w:pPr>
          </w:p>
          <w:p w14:paraId="6DD7EE6E" w14:textId="4B3990C2" w:rsidR="00A91C65" w:rsidRPr="00A91C65" w:rsidRDefault="00A91C65" w:rsidP="005565CB">
            <w:pPr>
              <w:rPr>
                <w:rFonts w:ascii="Arial" w:hAnsi="Arial" w:cs="Arial"/>
                <w:b/>
                <w:bCs/>
                <w:iCs/>
                <w:sz w:val="20"/>
              </w:rPr>
            </w:pPr>
            <w:r w:rsidRPr="00A91C65">
              <w:rPr>
                <w:rFonts w:ascii="Arial" w:hAnsi="Arial" w:cs="Arial"/>
                <w:b/>
                <w:bCs/>
                <w:iCs/>
                <w:sz w:val="20"/>
              </w:rPr>
              <w:t xml:space="preserve">Slavery and </w:t>
            </w:r>
            <w:r w:rsidR="00446560">
              <w:rPr>
                <w:rFonts w:ascii="Arial" w:hAnsi="Arial" w:cs="Arial"/>
                <w:b/>
                <w:bCs/>
                <w:iCs/>
                <w:sz w:val="20"/>
              </w:rPr>
              <w:t>Servitude</w:t>
            </w:r>
          </w:p>
          <w:p w14:paraId="35FAC0E9" w14:textId="055EF569" w:rsidR="00A91C65" w:rsidRPr="00AB712A" w:rsidRDefault="00BB48B0" w:rsidP="00A91C65">
            <w:pPr>
              <w:rPr>
                <w:rFonts w:ascii="Arial" w:hAnsi="Arial" w:cs="Arial"/>
                <w:bCs/>
                <w:i/>
                <w:iCs/>
                <w:sz w:val="20"/>
              </w:rPr>
            </w:pPr>
            <w:r>
              <w:rPr>
                <w:rFonts w:ascii="Arial" w:hAnsi="Arial" w:cs="Arial"/>
                <w:bCs/>
                <w:sz w:val="20"/>
              </w:rPr>
              <w:t xml:space="preserve">Cases: </w:t>
            </w:r>
            <w:r w:rsidR="00A91C65" w:rsidRPr="005A52DC">
              <w:rPr>
                <w:rFonts w:ascii="Arial" w:hAnsi="Arial" w:cs="Arial"/>
                <w:bCs/>
                <w:i/>
                <w:iCs/>
                <w:sz w:val="20"/>
              </w:rPr>
              <w:t xml:space="preserve">Prigg v. Pennsylvania, Dred Scott v. Sanford; Plessy v. Ferguson; Civil Rights Cases; </w:t>
            </w:r>
            <w:r w:rsidR="00AB712A">
              <w:rPr>
                <w:rFonts w:ascii="Arial" w:hAnsi="Arial" w:cs="Arial"/>
                <w:i/>
                <w:sz w:val="20"/>
              </w:rPr>
              <w:t xml:space="preserve">Jones v. Alfred H. Mayer Co; </w:t>
            </w:r>
            <w:bookmarkStart w:id="1" w:name="_Hlk107667772"/>
            <w:r w:rsidR="00AB712A" w:rsidRPr="00AB712A">
              <w:rPr>
                <w:rFonts w:ascii="Arial" w:hAnsi="Arial" w:cs="Arial"/>
                <w:i/>
                <w:sz w:val="20"/>
              </w:rPr>
              <w:t>United States v. Kozminski</w:t>
            </w:r>
            <w:bookmarkEnd w:id="1"/>
          </w:p>
          <w:p w14:paraId="0D7754BE" w14:textId="77777777" w:rsidR="00A91C65" w:rsidRPr="00A91C65" w:rsidRDefault="00A91C65" w:rsidP="005565CB">
            <w:pPr>
              <w:rPr>
                <w:rFonts w:ascii="Arial" w:hAnsi="Arial" w:cs="Arial"/>
                <w:iCs/>
                <w:sz w:val="20"/>
              </w:rPr>
            </w:pPr>
          </w:p>
          <w:p w14:paraId="71E16689" w14:textId="7A7338A4" w:rsidR="005565CB" w:rsidRDefault="005565CB" w:rsidP="005565CB">
            <w:pPr>
              <w:rPr>
                <w:rFonts w:ascii="Arial" w:hAnsi="Arial" w:cs="Arial"/>
                <w:b/>
                <w:sz w:val="20"/>
              </w:rPr>
            </w:pPr>
            <w:r>
              <w:rPr>
                <w:rFonts w:ascii="Arial" w:hAnsi="Arial" w:cs="Arial"/>
                <w:b/>
                <w:sz w:val="20"/>
              </w:rPr>
              <w:t>Equal Protection, Part 1</w:t>
            </w:r>
            <w:r w:rsidR="00917795">
              <w:rPr>
                <w:rFonts w:ascii="Arial" w:hAnsi="Arial" w:cs="Arial"/>
                <w:b/>
                <w:sz w:val="20"/>
              </w:rPr>
              <w:t xml:space="preserve"> – Chapter 12</w:t>
            </w:r>
          </w:p>
          <w:p w14:paraId="6F277CF1" w14:textId="335ABAEE" w:rsidR="005565CB" w:rsidRPr="00CF247E" w:rsidRDefault="005565CB" w:rsidP="005565CB">
            <w:pPr>
              <w:rPr>
                <w:rFonts w:ascii="Arial" w:hAnsi="Arial" w:cs="Arial"/>
                <w:bCs/>
                <w:sz w:val="20"/>
              </w:rPr>
            </w:pPr>
            <w:r w:rsidRPr="004E61E2">
              <w:rPr>
                <w:rFonts w:ascii="Arial" w:hAnsi="Arial" w:cs="Arial"/>
                <w:sz w:val="20"/>
              </w:rPr>
              <w:t>Cases</w:t>
            </w:r>
            <w:r w:rsidR="00A91C65">
              <w:rPr>
                <w:rFonts w:ascii="Arial" w:hAnsi="Arial" w:cs="Arial"/>
                <w:sz w:val="20"/>
              </w:rPr>
              <w:t xml:space="preserve"> </w:t>
            </w:r>
            <w:r w:rsidR="00CF247E" w:rsidRPr="005A52DC">
              <w:rPr>
                <w:rFonts w:ascii="Arial" w:hAnsi="Arial" w:cs="Arial"/>
                <w:bCs/>
                <w:i/>
                <w:iCs/>
                <w:sz w:val="20"/>
              </w:rPr>
              <w:t>Sweatt v. Painter; Brown v. Board of Education (1);</w:t>
            </w:r>
            <w:r w:rsidR="00CF247E">
              <w:rPr>
                <w:rFonts w:ascii="Arial" w:hAnsi="Arial" w:cs="Arial"/>
                <w:bCs/>
                <w:sz w:val="20"/>
              </w:rPr>
              <w:t xml:space="preserve"> </w:t>
            </w:r>
            <w:r>
              <w:rPr>
                <w:rFonts w:ascii="Arial" w:hAnsi="Arial" w:cs="Arial"/>
                <w:i/>
                <w:sz w:val="20"/>
              </w:rPr>
              <w:t>Burton v. Wilmington Parking Authority; Loving v. Virginia; Moose Lodge No. 107 v. Irvis</w:t>
            </w:r>
            <w:r w:rsidR="00AB712A">
              <w:rPr>
                <w:rFonts w:ascii="Arial" w:hAnsi="Arial" w:cs="Arial"/>
                <w:i/>
                <w:sz w:val="20"/>
              </w:rPr>
              <w:t>;</w:t>
            </w:r>
            <w:r w:rsidR="00AC47AF">
              <w:rPr>
                <w:rFonts w:ascii="Arial" w:hAnsi="Arial" w:cs="Arial"/>
                <w:i/>
                <w:sz w:val="20"/>
              </w:rPr>
              <w:t xml:space="preserve"> </w:t>
            </w:r>
            <w:r w:rsidR="00AC47AF" w:rsidRPr="00AC47AF">
              <w:rPr>
                <w:rFonts w:ascii="Arial" w:hAnsi="Arial" w:cs="Arial"/>
                <w:i/>
                <w:sz w:val="20"/>
              </w:rPr>
              <w:t>Parents Involved in Community Schools v. Seattle School District No. 1</w:t>
            </w:r>
          </w:p>
          <w:p w14:paraId="58F12E66" w14:textId="77777777" w:rsidR="005565CB" w:rsidRDefault="005565CB" w:rsidP="005565CB">
            <w:pPr>
              <w:rPr>
                <w:rFonts w:ascii="Arial" w:hAnsi="Arial" w:cs="Arial"/>
                <w:sz w:val="20"/>
              </w:rPr>
            </w:pPr>
          </w:p>
          <w:p w14:paraId="378DDAD8" w14:textId="3150E770" w:rsidR="005565CB" w:rsidRDefault="005565CB" w:rsidP="005565CB">
            <w:pPr>
              <w:rPr>
                <w:rFonts w:ascii="Arial" w:hAnsi="Arial" w:cs="Arial"/>
                <w:b/>
                <w:sz w:val="20"/>
              </w:rPr>
            </w:pPr>
            <w:r>
              <w:rPr>
                <w:rFonts w:ascii="Arial" w:hAnsi="Arial" w:cs="Arial"/>
                <w:b/>
                <w:sz w:val="20"/>
              </w:rPr>
              <w:t>Equal Protection, Part 2</w:t>
            </w:r>
            <w:r w:rsidR="00917795">
              <w:rPr>
                <w:rFonts w:ascii="Arial" w:hAnsi="Arial" w:cs="Arial"/>
                <w:b/>
                <w:sz w:val="20"/>
              </w:rPr>
              <w:t xml:space="preserve"> – Chapter 13</w:t>
            </w:r>
          </w:p>
          <w:p w14:paraId="58115780" w14:textId="68D48C41" w:rsidR="005565CB" w:rsidRDefault="005565CB" w:rsidP="005565CB">
            <w:pPr>
              <w:rPr>
                <w:rFonts w:ascii="Arial" w:hAnsi="Arial" w:cs="Arial"/>
                <w:i/>
                <w:sz w:val="20"/>
              </w:rPr>
            </w:pPr>
            <w:r>
              <w:rPr>
                <w:rFonts w:ascii="Arial" w:hAnsi="Arial" w:cs="Arial"/>
                <w:sz w:val="20"/>
              </w:rPr>
              <w:t xml:space="preserve">Cases: </w:t>
            </w:r>
            <w:r>
              <w:rPr>
                <w:rFonts w:ascii="Arial" w:hAnsi="Arial" w:cs="Arial"/>
                <w:i/>
                <w:sz w:val="20"/>
              </w:rPr>
              <w:t>Reed v. Reed; Craig v. Boren; United States v. Virginia;</w:t>
            </w:r>
            <w:r w:rsidRPr="00CD30D2">
              <w:rPr>
                <w:rFonts w:ascii="Arial" w:hAnsi="Arial" w:cs="Arial"/>
                <w:i/>
                <w:sz w:val="20"/>
              </w:rPr>
              <w:t xml:space="preserve"> </w:t>
            </w:r>
            <w:r w:rsidR="00A91C65">
              <w:rPr>
                <w:rFonts w:ascii="Arial" w:hAnsi="Arial" w:cs="Arial"/>
                <w:i/>
                <w:sz w:val="20"/>
              </w:rPr>
              <w:t xml:space="preserve">San Antonio School District v. Rodriguez; Plyer v. Doe; </w:t>
            </w:r>
            <w:r w:rsidR="00BB48B0">
              <w:rPr>
                <w:rFonts w:ascii="Arial" w:hAnsi="Arial" w:cs="Arial"/>
                <w:i/>
                <w:sz w:val="20"/>
              </w:rPr>
              <w:t xml:space="preserve">Cleburne v. Cleburne Living Center; </w:t>
            </w:r>
            <w:r>
              <w:rPr>
                <w:rFonts w:ascii="Arial" w:hAnsi="Arial" w:cs="Arial"/>
                <w:i/>
                <w:sz w:val="20"/>
              </w:rPr>
              <w:t xml:space="preserve">Regents of the University of California v. Bakke; </w:t>
            </w:r>
            <w:r w:rsidR="00E56099">
              <w:rPr>
                <w:rFonts w:ascii="Arial" w:hAnsi="Arial" w:cs="Arial"/>
                <w:i/>
                <w:sz w:val="20"/>
              </w:rPr>
              <w:t>Grutter v. Bollinger</w:t>
            </w:r>
          </w:p>
          <w:p w14:paraId="5ABC1E66" w14:textId="77777777" w:rsidR="003E4A55" w:rsidRDefault="003E4A55" w:rsidP="003E4A55">
            <w:pPr>
              <w:rPr>
                <w:rFonts w:ascii="Arial" w:hAnsi="Arial" w:cs="Arial"/>
                <w:b/>
                <w:sz w:val="20"/>
              </w:rPr>
            </w:pPr>
          </w:p>
          <w:p w14:paraId="7DE71E52" w14:textId="07CB70E8" w:rsidR="003E4A55" w:rsidRDefault="003E4A55" w:rsidP="003E4A55">
            <w:pPr>
              <w:rPr>
                <w:rFonts w:ascii="Arial" w:hAnsi="Arial" w:cs="Arial"/>
                <w:b/>
                <w:sz w:val="20"/>
              </w:rPr>
            </w:pPr>
            <w:r>
              <w:rPr>
                <w:rFonts w:ascii="Arial" w:hAnsi="Arial" w:cs="Arial"/>
                <w:b/>
                <w:sz w:val="20"/>
              </w:rPr>
              <w:t>Economic Substantive Due Process</w:t>
            </w:r>
          </w:p>
          <w:p w14:paraId="268325E1" w14:textId="77777777" w:rsidR="003E4A55" w:rsidRPr="004556FE" w:rsidRDefault="003E4A55" w:rsidP="003E4A55">
            <w:pPr>
              <w:rPr>
                <w:rFonts w:ascii="Arial" w:hAnsi="Arial" w:cs="Arial"/>
                <w:bCs/>
                <w:sz w:val="20"/>
              </w:rPr>
            </w:pPr>
            <w:r>
              <w:rPr>
                <w:rFonts w:ascii="Arial" w:hAnsi="Arial" w:cs="Arial"/>
                <w:bCs/>
                <w:sz w:val="20"/>
              </w:rPr>
              <w:t xml:space="preserve">Cases: </w:t>
            </w:r>
            <w:r w:rsidRPr="00BB48B0">
              <w:rPr>
                <w:rFonts w:ascii="Arial" w:hAnsi="Arial" w:cs="Arial"/>
                <w:bCs/>
                <w:i/>
                <w:iCs/>
                <w:sz w:val="20"/>
              </w:rPr>
              <w:t xml:space="preserve">The Slaughterhouse Cases; Allgeyer v. Louisiana; Lochner v. New York; Adkins v. Children’s Hospital; Nebbia v. New York; West Coast Hotel v. Parrish; BMW of North America v. Gore; Caperton v. A.T. Massey Coal </w:t>
            </w:r>
          </w:p>
          <w:p w14:paraId="1050E668" w14:textId="77777777" w:rsidR="003E4A55" w:rsidRDefault="003E4A55" w:rsidP="003E4A55">
            <w:pPr>
              <w:rPr>
                <w:rFonts w:ascii="Arial" w:hAnsi="Arial" w:cs="Arial"/>
                <w:sz w:val="20"/>
              </w:rPr>
            </w:pPr>
          </w:p>
          <w:p w14:paraId="0AA3EA11" w14:textId="22B7371F" w:rsidR="003E4A55" w:rsidRDefault="003E4A55" w:rsidP="003E4A55">
            <w:pPr>
              <w:rPr>
                <w:rFonts w:ascii="Arial" w:hAnsi="Arial" w:cs="Arial"/>
                <w:b/>
                <w:sz w:val="20"/>
              </w:rPr>
            </w:pPr>
            <w:r>
              <w:rPr>
                <w:rFonts w:ascii="Arial" w:hAnsi="Arial" w:cs="Arial"/>
                <w:b/>
                <w:sz w:val="20"/>
              </w:rPr>
              <w:t>Social Substantive Due Process – Chapter 9</w:t>
            </w:r>
          </w:p>
          <w:p w14:paraId="142F9F64" w14:textId="4D5D6F4C" w:rsidR="003E4A55" w:rsidRDefault="003E4A55" w:rsidP="003E4A55">
            <w:pPr>
              <w:rPr>
                <w:rFonts w:ascii="Arial" w:hAnsi="Arial" w:cs="Arial"/>
                <w:i/>
                <w:sz w:val="20"/>
              </w:rPr>
            </w:pPr>
            <w:r>
              <w:rPr>
                <w:rFonts w:ascii="Arial" w:hAnsi="Arial" w:cs="Arial"/>
                <w:sz w:val="20"/>
              </w:rPr>
              <w:t xml:space="preserve">Cases: </w:t>
            </w:r>
            <w:r>
              <w:rPr>
                <w:rFonts w:ascii="Arial" w:hAnsi="Arial" w:cs="Arial"/>
                <w:i/>
                <w:sz w:val="20"/>
              </w:rPr>
              <w:t>Griswold v. Connecticut;</w:t>
            </w:r>
            <w:r w:rsidRPr="00530B71">
              <w:rPr>
                <w:rFonts w:ascii="Arial" w:hAnsi="Arial" w:cs="Arial"/>
                <w:i/>
                <w:sz w:val="20"/>
              </w:rPr>
              <w:t xml:space="preserve"> </w:t>
            </w:r>
            <w:r>
              <w:rPr>
                <w:rFonts w:ascii="Arial" w:hAnsi="Arial" w:cs="Arial"/>
                <w:i/>
                <w:sz w:val="20"/>
              </w:rPr>
              <w:t>Cruzan v. Director, Missouri Department of Health; Roe v. Wade;</w:t>
            </w:r>
            <w:r w:rsidR="00C80607">
              <w:rPr>
                <w:rFonts w:ascii="Arial" w:hAnsi="Arial" w:cs="Arial"/>
                <w:i/>
                <w:sz w:val="20"/>
              </w:rPr>
              <w:t xml:space="preserve"> Dobbs</w:t>
            </w:r>
            <w:r w:rsidR="00415164" w:rsidRPr="00415164">
              <w:rPr>
                <w:rFonts w:ascii="Arial" w:hAnsi="Arial" w:cs="Arial"/>
                <w:i/>
                <w:sz w:val="20"/>
              </w:rPr>
              <w:t xml:space="preserve"> v. Jackson Women's Health Organization</w:t>
            </w:r>
            <w:r w:rsidR="00415164">
              <w:rPr>
                <w:rFonts w:ascii="Arial" w:hAnsi="Arial" w:cs="Arial"/>
                <w:i/>
                <w:sz w:val="20"/>
              </w:rPr>
              <w:t>;</w:t>
            </w:r>
            <w:r>
              <w:rPr>
                <w:rFonts w:ascii="Arial" w:hAnsi="Arial" w:cs="Arial"/>
                <w:i/>
                <w:sz w:val="20"/>
              </w:rPr>
              <w:t xml:space="preserve"> Lawrence v. Texas; Obergefell v. Hodges</w:t>
            </w:r>
          </w:p>
          <w:p w14:paraId="41699D7D" w14:textId="77777777" w:rsidR="003E4A55" w:rsidRDefault="003E4A55" w:rsidP="003E4A55">
            <w:pPr>
              <w:rPr>
                <w:rFonts w:ascii="Arial" w:hAnsi="Arial" w:cs="Arial"/>
                <w:i/>
                <w:sz w:val="20"/>
              </w:rPr>
            </w:pPr>
          </w:p>
          <w:p w14:paraId="02028E15" w14:textId="69CA54A2" w:rsidR="003E4A55" w:rsidRDefault="003E4A55" w:rsidP="003E4A55">
            <w:pPr>
              <w:rPr>
                <w:rFonts w:ascii="Arial" w:hAnsi="Arial" w:cs="Arial"/>
                <w:b/>
                <w:sz w:val="20"/>
              </w:rPr>
            </w:pPr>
            <w:r>
              <w:rPr>
                <w:rFonts w:ascii="Arial" w:hAnsi="Arial" w:cs="Arial"/>
                <w:b/>
                <w:sz w:val="20"/>
              </w:rPr>
              <w:t>Voting Rights and Election Law – Chapter 14</w:t>
            </w:r>
          </w:p>
          <w:p w14:paraId="6F5B1488" w14:textId="3BD3A910" w:rsidR="003E4A55" w:rsidRDefault="003E4A55" w:rsidP="005565CB">
            <w:pPr>
              <w:rPr>
                <w:rFonts w:ascii="Arial" w:hAnsi="Arial" w:cs="Arial"/>
                <w:bCs/>
                <w:i/>
                <w:iCs/>
                <w:sz w:val="20"/>
              </w:rPr>
            </w:pPr>
            <w:r>
              <w:rPr>
                <w:rFonts w:ascii="Arial" w:hAnsi="Arial" w:cs="Arial"/>
                <w:bCs/>
                <w:sz w:val="20"/>
              </w:rPr>
              <w:t xml:space="preserve">Cases: </w:t>
            </w:r>
            <w:r w:rsidRPr="005A52DC">
              <w:rPr>
                <w:rFonts w:ascii="Arial" w:hAnsi="Arial" w:cs="Arial"/>
                <w:bCs/>
                <w:i/>
                <w:iCs/>
                <w:sz w:val="20"/>
              </w:rPr>
              <w:t>South Carolina v. Katzenbach; Shelby County v. Holder; Reynolds v Sims; Miller v. Johnson; Rucho v. Common Cause</w:t>
            </w:r>
            <w:r w:rsidR="00665094">
              <w:rPr>
                <w:rFonts w:ascii="Arial" w:hAnsi="Arial" w:cs="Arial"/>
                <w:bCs/>
                <w:i/>
                <w:iCs/>
                <w:sz w:val="20"/>
              </w:rPr>
              <w:t xml:space="preserve">; </w:t>
            </w:r>
            <w:r w:rsidR="00665094" w:rsidRPr="005A52DC">
              <w:rPr>
                <w:rFonts w:ascii="Arial" w:hAnsi="Arial" w:cs="Arial"/>
                <w:bCs/>
                <w:i/>
                <w:iCs/>
                <w:sz w:val="20"/>
              </w:rPr>
              <w:t>Citizens United v. FEC; McCutcheon v. Federal Election Commission</w:t>
            </w:r>
          </w:p>
          <w:p w14:paraId="1BD2CBF5" w14:textId="77777777" w:rsidR="00665094" w:rsidRPr="004C179E" w:rsidRDefault="00665094" w:rsidP="005565CB">
            <w:pPr>
              <w:rPr>
                <w:rFonts w:ascii="Arial" w:hAnsi="Arial" w:cs="Arial"/>
                <w:i/>
                <w:sz w:val="20"/>
              </w:rPr>
            </w:pPr>
          </w:p>
          <w:p w14:paraId="13E48559" w14:textId="0C0A7935" w:rsidR="00012A9E" w:rsidRPr="00D868C2" w:rsidRDefault="003E4A55"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Hot Topics</w:t>
            </w:r>
            <w:r w:rsidR="00665094">
              <w:rPr>
                <w:rFonts w:ascii="Arial" w:hAnsi="Arial" w:cs="Arial"/>
                <w:b/>
                <w:sz w:val="20"/>
              </w:rPr>
              <w:t>, Grad School,</w:t>
            </w:r>
            <w:r w:rsidR="00B0295F">
              <w:rPr>
                <w:rFonts w:ascii="Arial" w:hAnsi="Arial" w:cs="Arial"/>
                <w:b/>
                <w:sz w:val="20"/>
              </w:rPr>
              <w:t xml:space="preserve"> and Make-Up Days</w:t>
            </w:r>
          </w:p>
        </w:tc>
      </w:tr>
      <w:tr w:rsidR="00634B1C" w:rsidRPr="00C2322F" w14:paraId="2612F8EE" w14:textId="77777777" w:rsidTr="00D76428">
        <w:tc>
          <w:tcPr>
            <w:tcW w:w="10340" w:type="dxa"/>
            <w:shd w:val="clear" w:color="auto" w:fill="auto"/>
          </w:tcPr>
          <w:p w14:paraId="40920BA4" w14:textId="5DE86B64" w:rsidR="00634B1C" w:rsidRDefault="00634B1C" w:rsidP="00634B1C">
            <w:pPr>
              <w:jc w:val="center"/>
              <w:rPr>
                <w:rFonts w:ascii="Arial" w:hAnsi="Arial" w:cs="Arial"/>
                <w:b/>
                <w:sz w:val="20"/>
              </w:rPr>
            </w:pPr>
            <w:r>
              <w:rPr>
                <w:rFonts w:ascii="Arial" w:hAnsi="Arial" w:cs="Arial"/>
                <w:b/>
                <w:sz w:val="20"/>
              </w:rPr>
              <w:lastRenderedPageBreak/>
              <w:t>Case Brief Rubric</w:t>
            </w:r>
          </w:p>
          <w:p w14:paraId="386CC128" w14:textId="1DC700F1" w:rsidR="00B47C9D" w:rsidRPr="00B47C9D" w:rsidRDefault="00B47C9D" w:rsidP="00B47C9D">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w:t>
            </w:r>
            <w:r w:rsidR="004B1A77">
              <w:rPr>
                <w:rFonts w:ascii="Arial" w:hAnsi="Arial" w:cs="Arial"/>
                <w:bCs/>
                <w:sz w:val="20"/>
              </w:rPr>
              <w:t>goal</w:t>
            </w:r>
            <w:r>
              <w:rPr>
                <w:rFonts w:ascii="Arial" w:hAnsi="Arial" w:cs="Arial"/>
                <w:bCs/>
                <w:sz w:val="20"/>
              </w:rPr>
              <w:t xml:space="preserve"> of fully informing </w:t>
            </w:r>
            <w:r w:rsidR="00A24C1F">
              <w:rPr>
                <w:rFonts w:ascii="Arial" w:hAnsi="Arial" w:cs="Arial"/>
                <w:bCs/>
                <w:sz w:val="20"/>
              </w:rPr>
              <w:t>a</w:t>
            </w:r>
            <w:r>
              <w:rPr>
                <w:rFonts w:ascii="Arial" w:hAnsi="Arial" w:cs="Arial"/>
                <w:bCs/>
                <w:sz w:val="20"/>
              </w:rPr>
              <w:t xml:space="preserve"> reader of the case without </w:t>
            </w:r>
            <w:r w:rsidR="000115BC">
              <w:rPr>
                <w:rFonts w:ascii="Arial" w:hAnsi="Arial" w:cs="Arial"/>
                <w:bCs/>
                <w:sz w:val="20"/>
              </w:rPr>
              <w:t>needing</w:t>
            </w:r>
            <w:r>
              <w:rPr>
                <w:rFonts w:ascii="Arial" w:hAnsi="Arial" w:cs="Arial"/>
                <w:bCs/>
                <w:sz w:val="20"/>
              </w:rPr>
              <w:t xml:space="preserve"> additional material. Briefing is an essential skill for lawyers and law students. </w:t>
            </w:r>
          </w:p>
          <w:p w14:paraId="294DBB30" w14:textId="77777777" w:rsidR="00634B1C" w:rsidRPr="00D6678E" w:rsidRDefault="00634B1C" w:rsidP="00634B1C">
            <w:pPr>
              <w:jc w:val="center"/>
              <w:rPr>
                <w:rFonts w:ascii="Arial" w:hAnsi="Arial" w:cs="Arial"/>
                <w:b/>
                <w:sz w:val="20"/>
              </w:rPr>
            </w:pPr>
          </w:p>
        </w:tc>
      </w:tr>
      <w:tr w:rsidR="00634B1C" w:rsidRPr="00C2322F" w14:paraId="47CBB4CF" w14:textId="77777777" w:rsidTr="00D76428">
        <w:tc>
          <w:tcPr>
            <w:tcW w:w="10340" w:type="dxa"/>
            <w:shd w:val="clear" w:color="auto" w:fill="auto"/>
          </w:tcPr>
          <w:p w14:paraId="42171ABD" w14:textId="5E03C71E" w:rsidR="00634B1C" w:rsidRPr="00D61AAF" w:rsidRDefault="00634B1C" w:rsidP="00634B1C">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0B699A62" w14:textId="77777777" w:rsidR="00634B1C" w:rsidRPr="00D868C2" w:rsidRDefault="00634B1C" w:rsidP="00634B1C">
            <w:pPr>
              <w:rPr>
                <w:rFonts w:ascii="Arial" w:hAnsi="Arial" w:cs="Arial"/>
                <w:sz w:val="20"/>
              </w:rPr>
            </w:pPr>
          </w:p>
          <w:p w14:paraId="6D544D48" w14:textId="77777777" w:rsidR="00634B1C" w:rsidRDefault="00634B1C" w:rsidP="00634B1C">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5625BF63" w14:textId="77777777" w:rsidR="00634B1C" w:rsidRPr="00D868C2" w:rsidRDefault="00634B1C" w:rsidP="00634B1C">
            <w:pPr>
              <w:rPr>
                <w:rFonts w:ascii="Arial" w:hAnsi="Arial" w:cs="Arial"/>
                <w:sz w:val="20"/>
              </w:rPr>
            </w:pPr>
          </w:p>
          <w:p w14:paraId="012C191A" w14:textId="77777777" w:rsidR="00634B1C" w:rsidRDefault="00634B1C" w:rsidP="00634B1C">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Jeopardy!.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13CBAFA6" w14:textId="77777777" w:rsidR="00634B1C" w:rsidRPr="00D868C2" w:rsidRDefault="00634B1C" w:rsidP="00634B1C">
            <w:pPr>
              <w:rPr>
                <w:rFonts w:ascii="Arial" w:hAnsi="Arial" w:cs="Arial"/>
                <w:sz w:val="20"/>
              </w:rPr>
            </w:pPr>
          </w:p>
          <w:p w14:paraId="081E2570" w14:textId="6316C3A4" w:rsidR="00634B1C" w:rsidRDefault="00634B1C" w:rsidP="00634B1C">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sidR="00862A77">
              <w:rPr>
                <w:rFonts w:ascii="Arial" w:hAnsi="Arial" w:cs="Arial"/>
                <w:sz w:val="20"/>
              </w:rPr>
              <w:t>n</w:t>
            </w:r>
            <w:r w:rsidRPr="00D868C2">
              <w:rPr>
                <w:rFonts w:ascii="Arial" w:hAnsi="Arial" w:cs="Arial"/>
                <w:sz w:val="20"/>
              </w:rPr>
              <w:t xml:space="preserve"> answer to the question(s) the case raises.  For example, a government agency has, or has not, exceeded its authority under a statute or the Constitution.  </w:t>
            </w:r>
            <w:r>
              <w:rPr>
                <w:rFonts w:ascii="Arial" w:hAnsi="Arial" w:cs="Arial"/>
                <w:sz w:val="20"/>
              </w:rPr>
              <w:t>In cases in which the Court serves as an appellate body</w:t>
            </w:r>
            <w:r w:rsidRPr="00D868C2">
              <w:rPr>
                <w:rFonts w:ascii="Arial" w:hAnsi="Arial" w:cs="Arial"/>
                <w:sz w:val="20"/>
              </w:rPr>
              <w:t xml:space="preserve">, decisions </w:t>
            </w:r>
            <w:r>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will often </w:t>
            </w:r>
            <w:r w:rsidR="00862A77">
              <w:rPr>
                <w:rFonts w:ascii="Arial" w:hAnsi="Arial" w:cs="Arial"/>
                <w:sz w:val="20"/>
              </w:rPr>
              <w:t>a</w:t>
            </w:r>
            <w:r w:rsidRPr="00D868C2">
              <w:rPr>
                <w:rFonts w:ascii="Arial" w:hAnsi="Arial" w:cs="Arial"/>
                <w:sz w:val="20"/>
              </w:rPr>
              <w:t xml:space="preserve"> case to the lower court for </w:t>
            </w:r>
            <w:r w:rsidR="00862A77">
              <w:rPr>
                <w:rFonts w:ascii="Arial" w:hAnsi="Arial" w:cs="Arial"/>
                <w:sz w:val="20"/>
              </w:rPr>
              <w:t>additional proceedings</w:t>
            </w:r>
            <w:r w:rsidRPr="00D868C2">
              <w:rPr>
                <w:rFonts w:ascii="Arial" w:hAnsi="Arial" w:cs="Arial"/>
                <w:sz w:val="20"/>
              </w:rPr>
              <w:t xml:space="preserve"> “not inconsiste</w:t>
            </w:r>
            <w:r>
              <w:rPr>
                <w:rFonts w:ascii="Arial" w:hAnsi="Arial" w:cs="Arial"/>
                <w:sz w:val="20"/>
              </w:rPr>
              <w:t>nt” with the Court’s decision.</w:t>
            </w:r>
          </w:p>
          <w:p w14:paraId="078EE629" w14:textId="77777777" w:rsidR="00634B1C" w:rsidRPr="00D868C2" w:rsidRDefault="00634B1C" w:rsidP="00634B1C">
            <w:pPr>
              <w:rPr>
                <w:rFonts w:ascii="Arial" w:hAnsi="Arial" w:cs="Arial"/>
                <w:sz w:val="20"/>
              </w:rPr>
            </w:pPr>
          </w:p>
          <w:p w14:paraId="10207206" w14:textId="77777777" w:rsidR="00634B1C" w:rsidRDefault="00634B1C" w:rsidP="00634B1C">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47C31813" w14:textId="77777777" w:rsidR="00634B1C" w:rsidRPr="00D868C2" w:rsidRDefault="00634B1C" w:rsidP="00634B1C">
            <w:pPr>
              <w:rPr>
                <w:rFonts w:ascii="Arial" w:hAnsi="Arial" w:cs="Arial"/>
                <w:sz w:val="20"/>
              </w:rPr>
            </w:pPr>
          </w:p>
          <w:p w14:paraId="227F6277" w14:textId="56F7937D" w:rsidR="00634B1C" w:rsidRDefault="00634B1C" w:rsidP="00634B1C">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On substantive questions, the opinion will give a general interpretation of a constitutional provision(s) and discuss how that interpretation should be applied to the case. B</w:t>
            </w:r>
            <w:r w:rsidRPr="00D868C2">
              <w:rPr>
                <w:rFonts w:ascii="Arial" w:hAnsi="Arial" w:cs="Arial"/>
                <w:sz w:val="20"/>
              </w:rPr>
              <w:t xml:space="preserve">e alert to the use or presence of </w:t>
            </w:r>
            <w:r>
              <w:rPr>
                <w:rFonts w:ascii="Arial" w:hAnsi="Arial" w:cs="Arial"/>
                <w:sz w:val="20"/>
              </w:rPr>
              <w:t xml:space="preserve">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w:t>
            </w:r>
            <w:r w:rsidR="005409CA">
              <w:rPr>
                <w:rFonts w:ascii="Arial" w:hAnsi="Arial" w:cs="Arial"/>
                <w:sz w:val="20"/>
              </w:rPr>
              <w:t>the separate</w:t>
            </w:r>
            <w:r>
              <w:rPr>
                <w:rFonts w:ascii="Arial" w:hAnsi="Arial" w:cs="Arial"/>
                <w:sz w:val="20"/>
              </w:rPr>
              <w:t xml:space="preserve"> opinions.</w:t>
            </w:r>
          </w:p>
          <w:p w14:paraId="0BF12B07" w14:textId="77777777" w:rsidR="00634B1C" w:rsidRPr="00D868C2" w:rsidRDefault="00634B1C" w:rsidP="00634B1C">
            <w:pPr>
              <w:rPr>
                <w:rFonts w:ascii="Arial" w:hAnsi="Arial" w:cs="Arial"/>
                <w:sz w:val="20"/>
              </w:rPr>
            </w:pPr>
          </w:p>
          <w:p w14:paraId="3E0C5D12" w14:textId="29E1FD42" w:rsidR="00634B1C" w:rsidRDefault="00634B1C" w:rsidP="00634B1C">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w:t>
            </w:r>
            <w:r w:rsidR="00B47C9D">
              <w:rPr>
                <w:rFonts w:ascii="Arial" w:hAnsi="Arial" w:cs="Arial"/>
                <w:sz w:val="20"/>
              </w:rPr>
              <w:t>reached by the majority opinion</w:t>
            </w:r>
            <w:r>
              <w:rPr>
                <w:rFonts w:ascii="Arial" w:hAnsi="Arial" w:cs="Arial"/>
                <w:sz w:val="20"/>
              </w:rPr>
              <w:t>, but</w:t>
            </w:r>
            <w:r w:rsidR="00B47C9D">
              <w:rPr>
                <w:rFonts w:ascii="Arial" w:hAnsi="Arial" w:cs="Arial"/>
                <w:sz w:val="20"/>
              </w:rPr>
              <w:t xml:space="preserve"> who feel their views are not fully reflected </w:t>
            </w:r>
            <w:r>
              <w:rPr>
                <w:rFonts w:ascii="Arial" w:hAnsi="Arial" w:cs="Arial"/>
                <w:sz w:val="20"/>
              </w:rPr>
              <w:t xml:space="preserve">by the majority opinion. </w:t>
            </w:r>
            <w:r w:rsidR="00B47C9D">
              <w:rPr>
                <w:rFonts w:ascii="Arial" w:hAnsi="Arial" w:cs="Arial"/>
                <w:sz w:val="20"/>
              </w:rPr>
              <w:t>A regular concurrence expands upon the majority opinion</w:t>
            </w:r>
            <w:r w:rsidR="005409CA">
              <w:rPr>
                <w:rFonts w:ascii="Arial" w:hAnsi="Arial" w:cs="Arial"/>
                <w:sz w:val="20"/>
              </w:rPr>
              <w:t xml:space="preserve"> reasoning</w:t>
            </w:r>
            <w:r w:rsidR="00B47C9D">
              <w:rPr>
                <w:rFonts w:ascii="Arial" w:hAnsi="Arial" w:cs="Arial"/>
                <w:sz w:val="20"/>
              </w:rPr>
              <w:t xml:space="preserve">, while a special concurrence might disagree with large parts of the majority opinion while agreeing on the outcome. </w:t>
            </w:r>
            <w:r>
              <w:rPr>
                <w:rFonts w:ascii="Arial" w:hAnsi="Arial" w:cs="Arial"/>
                <w:sz w:val="20"/>
              </w:rPr>
              <w:t>Dissenting opinions are those in which a justice(s) disagreed with the outcome of the case.</w:t>
            </w:r>
            <w:r w:rsidR="005409CA">
              <w:rPr>
                <w:rFonts w:ascii="Arial" w:hAnsi="Arial" w:cs="Arial"/>
                <w:sz w:val="20"/>
              </w:rPr>
              <w:t xml:space="preserve"> They may have a different interpretation of a constitutional provision or a different view on how the constitutional provision applies to the facts of a case.</w:t>
            </w:r>
          </w:p>
          <w:p w14:paraId="7B5B57D9" w14:textId="77777777" w:rsidR="00634B1C" w:rsidRDefault="00634B1C" w:rsidP="00634B1C">
            <w:pPr>
              <w:rPr>
                <w:rFonts w:ascii="Arial" w:hAnsi="Arial" w:cs="Arial"/>
                <w:sz w:val="20"/>
              </w:rPr>
            </w:pPr>
          </w:p>
          <w:p w14:paraId="7A4617A4" w14:textId="448D67CA" w:rsidR="00634B1C" w:rsidRDefault="00634B1C" w:rsidP="00634B1C">
            <w:pPr>
              <w:rPr>
                <w:rFonts w:ascii="Arial" w:hAnsi="Arial" w:cs="Arial"/>
                <w:sz w:val="20"/>
              </w:rPr>
            </w:pPr>
            <w:r>
              <w:rPr>
                <w:rFonts w:ascii="Arial" w:hAnsi="Arial" w:cs="Arial"/>
                <w:sz w:val="20"/>
              </w:rPr>
              <w:t xml:space="preserve">8. </w:t>
            </w:r>
            <w:r w:rsidRPr="00891D43">
              <w:rPr>
                <w:rFonts w:ascii="Arial" w:hAnsi="Arial" w:cs="Arial"/>
                <w:i/>
                <w:iCs/>
                <w:sz w:val="20"/>
              </w:rPr>
              <w:t>Legacy and Significance.</w:t>
            </w:r>
            <w:r>
              <w:rPr>
                <w:rFonts w:ascii="Arial" w:hAnsi="Arial" w:cs="Arial"/>
                <w:sz w:val="20"/>
              </w:rPr>
              <w:t xml:space="preserve"> Cases have important consequences for the political and legal debates of the country. Political consequences include the passage of new legislation in response to the case or invalidation of similar legislation. Legal consequences include establishing or overturning precedent on a constitutional issue that is cited in later cases. </w:t>
            </w:r>
            <w:r w:rsidR="00C457C6">
              <w:rPr>
                <w:rFonts w:ascii="Arial" w:hAnsi="Arial" w:cs="Arial"/>
                <w:sz w:val="20"/>
              </w:rPr>
              <w:t xml:space="preserve">Additionally, the Court may decide to leave questions </w:t>
            </w:r>
            <w:r w:rsidR="00BB108D">
              <w:rPr>
                <w:rFonts w:ascii="Arial" w:hAnsi="Arial" w:cs="Arial"/>
                <w:sz w:val="20"/>
              </w:rPr>
              <w:t xml:space="preserve">germane to the case </w:t>
            </w:r>
            <w:r w:rsidR="00C457C6">
              <w:rPr>
                <w:rFonts w:ascii="Arial" w:hAnsi="Arial" w:cs="Arial"/>
                <w:sz w:val="20"/>
              </w:rPr>
              <w:t>unresolved because they are unnecessary for the Court to answer in order to decide the outcome of the case.</w:t>
            </w:r>
          </w:p>
          <w:p w14:paraId="6E05D980" w14:textId="77777777" w:rsidR="00634B1C" w:rsidRDefault="00634B1C" w:rsidP="00634B1C">
            <w:pPr>
              <w:rPr>
                <w:rFonts w:ascii="Arial" w:hAnsi="Arial" w:cs="Arial"/>
                <w:sz w:val="20"/>
              </w:rPr>
            </w:pPr>
          </w:p>
          <w:p w14:paraId="07CC6858" w14:textId="7175E521" w:rsidR="00634B1C" w:rsidRPr="00C2322F" w:rsidRDefault="00634B1C" w:rsidP="00634B1C">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77777777" w:rsidR="000C6758" w:rsidRDefault="000C6758" w:rsidP="00BB48B0"/>
    <w:sectPr w:rsidR="000C6758" w:rsidSect="00BB48B0">
      <w:footerReference w:type="default" r:id="rId15"/>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E272" w14:textId="77777777" w:rsidR="001B7B8B" w:rsidRDefault="001B7B8B">
      <w:r>
        <w:separator/>
      </w:r>
    </w:p>
  </w:endnote>
  <w:endnote w:type="continuationSeparator" w:id="0">
    <w:p w14:paraId="492C7826" w14:textId="77777777" w:rsidR="001B7B8B" w:rsidRDefault="001B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CBBF" w14:textId="77777777" w:rsidR="001B7B8B" w:rsidRDefault="001B7B8B">
      <w:r>
        <w:separator/>
      </w:r>
    </w:p>
  </w:footnote>
  <w:footnote w:type="continuationSeparator" w:id="0">
    <w:p w14:paraId="7913B36D" w14:textId="77777777" w:rsidR="001B7B8B" w:rsidRDefault="001B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15BC"/>
    <w:rsid w:val="00012A9E"/>
    <w:rsid w:val="000463E9"/>
    <w:rsid w:val="00056138"/>
    <w:rsid w:val="000826BE"/>
    <w:rsid w:val="00092FA7"/>
    <w:rsid w:val="000C158F"/>
    <w:rsid w:val="000C6758"/>
    <w:rsid w:val="000D0DC9"/>
    <w:rsid w:val="000E3BF0"/>
    <w:rsid w:val="000E4BD1"/>
    <w:rsid w:val="000E5A69"/>
    <w:rsid w:val="000E758D"/>
    <w:rsid w:val="00130F15"/>
    <w:rsid w:val="0013130F"/>
    <w:rsid w:val="0014674F"/>
    <w:rsid w:val="0017759C"/>
    <w:rsid w:val="001825D8"/>
    <w:rsid w:val="00182D32"/>
    <w:rsid w:val="00193C9B"/>
    <w:rsid w:val="00194365"/>
    <w:rsid w:val="001B7B8B"/>
    <w:rsid w:val="001C4410"/>
    <w:rsid w:val="001E1D90"/>
    <w:rsid w:val="001F36A8"/>
    <w:rsid w:val="00211D4D"/>
    <w:rsid w:val="0023478A"/>
    <w:rsid w:val="002351C2"/>
    <w:rsid w:val="002468DD"/>
    <w:rsid w:val="0025030F"/>
    <w:rsid w:val="00252E53"/>
    <w:rsid w:val="00255267"/>
    <w:rsid w:val="00256DE4"/>
    <w:rsid w:val="00280197"/>
    <w:rsid w:val="002C672A"/>
    <w:rsid w:val="00302541"/>
    <w:rsid w:val="0030321B"/>
    <w:rsid w:val="00305671"/>
    <w:rsid w:val="0032782C"/>
    <w:rsid w:val="00355C07"/>
    <w:rsid w:val="00366889"/>
    <w:rsid w:val="00370FC4"/>
    <w:rsid w:val="00373F5C"/>
    <w:rsid w:val="0038073E"/>
    <w:rsid w:val="00396748"/>
    <w:rsid w:val="003A394C"/>
    <w:rsid w:val="003D7214"/>
    <w:rsid w:val="003E1396"/>
    <w:rsid w:val="003E4A55"/>
    <w:rsid w:val="003E7EC6"/>
    <w:rsid w:val="00410183"/>
    <w:rsid w:val="00415164"/>
    <w:rsid w:val="00423A3F"/>
    <w:rsid w:val="00426D21"/>
    <w:rsid w:val="00445816"/>
    <w:rsid w:val="00446560"/>
    <w:rsid w:val="00446EE1"/>
    <w:rsid w:val="00450627"/>
    <w:rsid w:val="004556FE"/>
    <w:rsid w:val="00465256"/>
    <w:rsid w:val="00485AB3"/>
    <w:rsid w:val="00490D14"/>
    <w:rsid w:val="0049606E"/>
    <w:rsid w:val="00497AB8"/>
    <w:rsid w:val="004B1A77"/>
    <w:rsid w:val="004B284C"/>
    <w:rsid w:val="004B40EB"/>
    <w:rsid w:val="004C179E"/>
    <w:rsid w:val="004D479E"/>
    <w:rsid w:val="004D5083"/>
    <w:rsid w:val="004E1A18"/>
    <w:rsid w:val="004E24A2"/>
    <w:rsid w:val="004E61E2"/>
    <w:rsid w:val="004F321B"/>
    <w:rsid w:val="004F57BA"/>
    <w:rsid w:val="004F609F"/>
    <w:rsid w:val="005066E8"/>
    <w:rsid w:val="005409CA"/>
    <w:rsid w:val="00540D44"/>
    <w:rsid w:val="005562DE"/>
    <w:rsid w:val="005565CB"/>
    <w:rsid w:val="00557FFC"/>
    <w:rsid w:val="00583DFF"/>
    <w:rsid w:val="00584878"/>
    <w:rsid w:val="005A52DC"/>
    <w:rsid w:val="005B71F0"/>
    <w:rsid w:val="005D306F"/>
    <w:rsid w:val="006009D5"/>
    <w:rsid w:val="00604A83"/>
    <w:rsid w:val="00625AD0"/>
    <w:rsid w:val="00625DC6"/>
    <w:rsid w:val="00632965"/>
    <w:rsid w:val="00634B1C"/>
    <w:rsid w:val="006437CD"/>
    <w:rsid w:val="00643C3F"/>
    <w:rsid w:val="00654087"/>
    <w:rsid w:val="00665094"/>
    <w:rsid w:val="00677979"/>
    <w:rsid w:val="00686D15"/>
    <w:rsid w:val="00690F89"/>
    <w:rsid w:val="006A04F1"/>
    <w:rsid w:val="006A2E23"/>
    <w:rsid w:val="006A74A2"/>
    <w:rsid w:val="006C3FDA"/>
    <w:rsid w:val="006C67DC"/>
    <w:rsid w:val="006C6BF2"/>
    <w:rsid w:val="006D6A07"/>
    <w:rsid w:val="006E547C"/>
    <w:rsid w:val="006F1AEA"/>
    <w:rsid w:val="006F26D4"/>
    <w:rsid w:val="00717DC6"/>
    <w:rsid w:val="00754925"/>
    <w:rsid w:val="00755C54"/>
    <w:rsid w:val="00761C2D"/>
    <w:rsid w:val="00792C48"/>
    <w:rsid w:val="007941C6"/>
    <w:rsid w:val="00795562"/>
    <w:rsid w:val="007B7CF7"/>
    <w:rsid w:val="007C3BCB"/>
    <w:rsid w:val="007C7C3F"/>
    <w:rsid w:val="007F167C"/>
    <w:rsid w:val="008034F7"/>
    <w:rsid w:val="008039DD"/>
    <w:rsid w:val="00820590"/>
    <w:rsid w:val="008257B7"/>
    <w:rsid w:val="008351FE"/>
    <w:rsid w:val="00835567"/>
    <w:rsid w:val="00846D53"/>
    <w:rsid w:val="0084774A"/>
    <w:rsid w:val="00862A77"/>
    <w:rsid w:val="0086630F"/>
    <w:rsid w:val="00870CC5"/>
    <w:rsid w:val="008834C4"/>
    <w:rsid w:val="00884395"/>
    <w:rsid w:val="00890093"/>
    <w:rsid w:val="00890346"/>
    <w:rsid w:val="008A088B"/>
    <w:rsid w:val="008B0848"/>
    <w:rsid w:val="008B1E35"/>
    <w:rsid w:val="008C227A"/>
    <w:rsid w:val="008C6CBC"/>
    <w:rsid w:val="008E757E"/>
    <w:rsid w:val="00917795"/>
    <w:rsid w:val="009219B4"/>
    <w:rsid w:val="00945EBD"/>
    <w:rsid w:val="009647F0"/>
    <w:rsid w:val="009705B4"/>
    <w:rsid w:val="00977E61"/>
    <w:rsid w:val="0098463D"/>
    <w:rsid w:val="00985571"/>
    <w:rsid w:val="009B2693"/>
    <w:rsid w:val="009D3C36"/>
    <w:rsid w:val="009D5167"/>
    <w:rsid w:val="009E7641"/>
    <w:rsid w:val="009F263F"/>
    <w:rsid w:val="00A145E9"/>
    <w:rsid w:val="00A16AB6"/>
    <w:rsid w:val="00A23D52"/>
    <w:rsid w:val="00A24C1F"/>
    <w:rsid w:val="00A46257"/>
    <w:rsid w:val="00A83152"/>
    <w:rsid w:val="00A90117"/>
    <w:rsid w:val="00A91C65"/>
    <w:rsid w:val="00AA7317"/>
    <w:rsid w:val="00AB712A"/>
    <w:rsid w:val="00AC47AF"/>
    <w:rsid w:val="00AC548B"/>
    <w:rsid w:val="00AD1A7F"/>
    <w:rsid w:val="00AE011D"/>
    <w:rsid w:val="00AE1CA2"/>
    <w:rsid w:val="00AF4EF9"/>
    <w:rsid w:val="00B0295F"/>
    <w:rsid w:val="00B1776C"/>
    <w:rsid w:val="00B26D1E"/>
    <w:rsid w:val="00B40966"/>
    <w:rsid w:val="00B4474D"/>
    <w:rsid w:val="00B4534D"/>
    <w:rsid w:val="00B47C9D"/>
    <w:rsid w:val="00B60CCC"/>
    <w:rsid w:val="00B6702E"/>
    <w:rsid w:val="00B91F35"/>
    <w:rsid w:val="00B92C68"/>
    <w:rsid w:val="00B9330C"/>
    <w:rsid w:val="00B9408D"/>
    <w:rsid w:val="00BA131C"/>
    <w:rsid w:val="00BB108D"/>
    <w:rsid w:val="00BB48B0"/>
    <w:rsid w:val="00BC3A05"/>
    <w:rsid w:val="00BD0806"/>
    <w:rsid w:val="00BE77BB"/>
    <w:rsid w:val="00BF0148"/>
    <w:rsid w:val="00BF2FDE"/>
    <w:rsid w:val="00C03BE6"/>
    <w:rsid w:val="00C17D67"/>
    <w:rsid w:val="00C2322F"/>
    <w:rsid w:val="00C327C8"/>
    <w:rsid w:val="00C35399"/>
    <w:rsid w:val="00C44D48"/>
    <w:rsid w:val="00C457C6"/>
    <w:rsid w:val="00C507DA"/>
    <w:rsid w:val="00C64FA4"/>
    <w:rsid w:val="00C7320D"/>
    <w:rsid w:val="00C7508F"/>
    <w:rsid w:val="00C768FB"/>
    <w:rsid w:val="00C80607"/>
    <w:rsid w:val="00C820FA"/>
    <w:rsid w:val="00C84012"/>
    <w:rsid w:val="00C96DB3"/>
    <w:rsid w:val="00CA0771"/>
    <w:rsid w:val="00CA52BA"/>
    <w:rsid w:val="00CB6754"/>
    <w:rsid w:val="00CB6B21"/>
    <w:rsid w:val="00CB762A"/>
    <w:rsid w:val="00CD566E"/>
    <w:rsid w:val="00CE463E"/>
    <w:rsid w:val="00CF247E"/>
    <w:rsid w:val="00D11161"/>
    <w:rsid w:val="00D14480"/>
    <w:rsid w:val="00D1532C"/>
    <w:rsid w:val="00D205CB"/>
    <w:rsid w:val="00D32A05"/>
    <w:rsid w:val="00D4465A"/>
    <w:rsid w:val="00D47210"/>
    <w:rsid w:val="00D47813"/>
    <w:rsid w:val="00D52768"/>
    <w:rsid w:val="00D5503C"/>
    <w:rsid w:val="00D64EB5"/>
    <w:rsid w:val="00D6678E"/>
    <w:rsid w:val="00D71E80"/>
    <w:rsid w:val="00D76428"/>
    <w:rsid w:val="00D868C2"/>
    <w:rsid w:val="00D87ECF"/>
    <w:rsid w:val="00D91E66"/>
    <w:rsid w:val="00DC1984"/>
    <w:rsid w:val="00DE078E"/>
    <w:rsid w:val="00DF3C0A"/>
    <w:rsid w:val="00DF49AC"/>
    <w:rsid w:val="00DF534B"/>
    <w:rsid w:val="00E10214"/>
    <w:rsid w:val="00E1333D"/>
    <w:rsid w:val="00E47081"/>
    <w:rsid w:val="00E56099"/>
    <w:rsid w:val="00E75B75"/>
    <w:rsid w:val="00E80FD8"/>
    <w:rsid w:val="00E95626"/>
    <w:rsid w:val="00EA6FFA"/>
    <w:rsid w:val="00EB3D57"/>
    <w:rsid w:val="00EC7A52"/>
    <w:rsid w:val="00ED0043"/>
    <w:rsid w:val="00F06BE8"/>
    <w:rsid w:val="00F207A9"/>
    <w:rsid w:val="00F415AC"/>
    <w:rsid w:val="00F74ED4"/>
    <w:rsid w:val="00F81432"/>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character" w:customStyle="1" w:styleId="UnresolvedMention">
    <w:name w:val="Unresolved Mention"/>
    <w:basedOn w:val="DefaultParagraphFont"/>
    <w:uiPriority w:val="99"/>
    <w:semiHidden/>
    <w:unhideWhenUsed/>
    <w:rsid w:val="008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2062">
      <w:bodyDiv w:val="1"/>
      <w:marLeft w:val="0"/>
      <w:marRight w:val="0"/>
      <w:marTop w:val="0"/>
      <w:marBottom w:val="0"/>
      <w:divBdr>
        <w:top w:val="none" w:sz="0" w:space="0" w:color="auto"/>
        <w:left w:val="none" w:sz="0" w:space="0" w:color="auto"/>
        <w:bottom w:val="none" w:sz="0" w:space="0" w:color="auto"/>
        <w:right w:val="none" w:sz="0" w:space="0" w:color="auto"/>
      </w:divBdr>
    </w:div>
    <w:div w:id="6882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hs.uga.edu/info/emerg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s.uga.edu/bewelluga/bewellu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ug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ga.edu/ovpi" TargetMode="External"/><Relationship Id="rId4" Type="http://schemas.openxmlformats.org/officeDocument/2006/relationships/settings" Target="settings.xml"/><Relationship Id="rId9" Type="http://schemas.openxmlformats.org/officeDocument/2006/relationships/hyperlink" Target="https://honesty.uga.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EB64-CD8F-4CB4-94CA-F5E93167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15593</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2022-07-11T13:37:00Z</dcterms:created>
  <dcterms:modified xsi:type="dcterms:W3CDTF">2022-07-11T13:37:00Z</dcterms:modified>
</cp:coreProperties>
</file>