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tblLayout w:type="fixed"/>
        <w:tblLook w:val="00A0" w:firstRow="1" w:lastRow="0" w:firstColumn="1" w:lastColumn="0" w:noHBand="0" w:noVBand="0"/>
      </w:tblPr>
      <w:tblGrid>
        <w:gridCol w:w="2870"/>
        <w:gridCol w:w="630"/>
        <w:gridCol w:w="1620"/>
        <w:gridCol w:w="5220"/>
      </w:tblGrid>
      <w:tr w:rsidR="0017759C" w14:paraId="31F38611" w14:textId="77777777" w:rsidTr="00D76428">
        <w:tc>
          <w:tcPr>
            <w:tcW w:w="5120" w:type="dxa"/>
            <w:gridSpan w:val="3"/>
            <w:shd w:val="clear" w:color="auto" w:fill="auto"/>
          </w:tcPr>
          <w:p w14:paraId="6D5678FA" w14:textId="14A630AD" w:rsidR="0017759C" w:rsidRDefault="00D4465A" w:rsidP="00D4465A">
            <w:pPr>
              <w:jc w:val="center"/>
            </w:pPr>
            <w:bookmarkStart w:id="0" w:name="_GoBack"/>
            <w:bookmarkEnd w:id="0"/>
            <w:r>
              <w:rPr>
                <w:noProof/>
              </w:rPr>
              <w:drawing>
                <wp:inline distT="0" distB="0" distL="0" distR="0" wp14:anchorId="46A622AE" wp14:editId="6E8D5223">
                  <wp:extent cx="1798320" cy="5878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511" cy="604888"/>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4"/>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4"/>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4"/>
            <w:shd w:val="clear" w:color="auto" w:fill="auto"/>
          </w:tcPr>
          <w:p w14:paraId="63B3258B" w14:textId="77777777" w:rsidR="0017759C" w:rsidRPr="00C2322F" w:rsidRDefault="0017759C">
            <w:pPr>
              <w:rPr>
                <w:sz w:val="10"/>
              </w:rPr>
            </w:pPr>
          </w:p>
        </w:tc>
      </w:tr>
      <w:tr w:rsidR="0017759C" w14:paraId="4C340386" w14:textId="77777777" w:rsidTr="00D76428">
        <w:trPr>
          <w:trHeight w:val="288"/>
        </w:trPr>
        <w:tc>
          <w:tcPr>
            <w:tcW w:w="3500" w:type="dxa"/>
            <w:gridSpan w:val="2"/>
            <w:shd w:val="clear" w:color="auto" w:fill="auto"/>
            <w:vAlign w:val="center"/>
          </w:tcPr>
          <w:p w14:paraId="20307DB8" w14:textId="270ED4B6" w:rsidR="0017759C" w:rsidRPr="00C2322F" w:rsidRDefault="00DE078E" w:rsidP="0017759C">
            <w:pPr>
              <w:rPr>
                <w:rFonts w:ascii="Arial" w:hAnsi="Arial" w:cs="Arial"/>
                <w:sz w:val="20"/>
              </w:rPr>
            </w:pPr>
            <w:r>
              <w:rPr>
                <w:rFonts w:ascii="Arial" w:hAnsi="Arial" w:cs="Arial"/>
                <w:sz w:val="20"/>
              </w:rPr>
              <w:t xml:space="preserve">POLS </w:t>
            </w:r>
            <w:r w:rsidR="00C820FA">
              <w:rPr>
                <w:rFonts w:ascii="Arial" w:hAnsi="Arial" w:cs="Arial"/>
                <w:sz w:val="20"/>
              </w:rPr>
              <w:t>4710</w:t>
            </w:r>
          </w:p>
        </w:tc>
        <w:tc>
          <w:tcPr>
            <w:tcW w:w="6840" w:type="dxa"/>
            <w:gridSpan w:val="2"/>
            <w:shd w:val="clear" w:color="auto" w:fill="auto"/>
            <w:vAlign w:val="center"/>
          </w:tcPr>
          <w:p w14:paraId="7F53C831" w14:textId="7686E4D3" w:rsidR="0017759C" w:rsidRPr="00C2322F" w:rsidRDefault="00D76428" w:rsidP="00445816">
            <w:pPr>
              <w:jc w:val="right"/>
              <w:rPr>
                <w:rFonts w:ascii="Arial" w:hAnsi="Arial" w:cs="Arial"/>
                <w:sz w:val="20"/>
              </w:rPr>
            </w:pPr>
            <w:r>
              <w:rPr>
                <w:rFonts w:ascii="Arial" w:hAnsi="Arial" w:cs="Arial"/>
                <w:sz w:val="20"/>
              </w:rPr>
              <w:t xml:space="preserve"> </w:t>
            </w:r>
            <w:r w:rsidR="00C820FA" w:rsidRPr="00C820FA">
              <w:rPr>
                <w:rFonts w:ascii="Arial" w:hAnsi="Arial" w:cs="Arial"/>
                <w:sz w:val="20"/>
              </w:rPr>
              <w:t>Constitutional Law: Rights and Liberties</w:t>
            </w:r>
          </w:p>
        </w:tc>
      </w:tr>
      <w:tr w:rsidR="0017759C" w14:paraId="779490EE" w14:textId="77777777" w:rsidTr="00D76428">
        <w:trPr>
          <w:trHeight w:val="288"/>
        </w:trPr>
        <w:tc>
          <w:tcPr>
            <w:tcW w:w="3500" w:type="dxa"/>
            <w:gridSpan w:val="2"/>
            <w:shd w:val="clear" w:color="auto" w:fill="auto"/>
            <w:vAlign w:val="center"/>
          </w:tcPr>
          <w:p w14:paraId="0278121C" w14:textId="428D2267" w:rsidR="0017759C" w:rsidRPr="00C2322F" w:rsidRDefault="00C820FA" w:rsidP="0017759C">
            <w:pPr>
              <w:rPr>
                <w:rFonts w:ascii="Arial" w:hAnsi="Arial" w:cs="Arial"/>
                <w:sz w:val="20"/>
              </w:rPr>
            </w:pPr>
            <w:r>
              <w:rPr>
                <w:rFonts w:ascii="Arial" w:hAnsi="Arial" w:cs="Arial"/>
                <w:sz w:val="20"/>
              </w:rPr>
              <w:t>Spring 2022</w:t>
            </w:r>
          </w:p>
        </w:tc>
        <w:tc>
          <w:tcPr>
            <w:tcW w:w="6840" w:type="dxa"/>
            <w:gridSpan w:val="2"/>
            <w:shd w:val="clear" w:color="auto" w:fill="auto"/>
          </w:tcPr>
          <w:p w14:paraId="535B7B43" w14:textId="06BC183E" w:rsidR="0017759C" w:rsidRPr="00C2322F" w:rsidRDefault="000463E9" w:rsidP="000463E9">
            <w:pPr>
              <w:jc w:val="right"/>
              <w:rPr>
                <w:rFonts w:ascii="Arial" w:hAnsi="Arial" w:cs="Arial"/>
                <w:sz w:val="20"/>
              </w:rPr>
            </w:pPr>
            <w:r>
              <w:rPr>
                <w:rFonts w:ascii="Arial" w:hAnsi="Arial" w:cs="Arial"/>
                <w:sz w:val="20"/>
              </w:rPr>
              <w:t xml:space="preserve">MWF </w:t>
            </w:r>
            <w:r w:rsidR="00C820FA" w:rsidRPr="00C820FA">
              <w:rPr>
                <w:rFonts w:ascii="Arial" w:hAnsi="Arial" w:cs="Arial"/>
                <w:sz w:val="20"/>
              </w:rPr>
              <w:t>11:30am-12:20pm</w:t>
            </w:r>
          </w:p>
        </w:tc>
      </w:tr>
      <w:tr w:rsidR="0017759C" w14:paraId="117C81B9" w14:textId="77777777" w:rsidTr="00D76428">
        <w:trPr>
          <w:trHeight w:val="288"/>
        </w:trPr>
        <w:tc>
          <w:tcPr>
            <w:tcW w:w="3500" w:type="dxa"/>
            <w:gridSpan w:val="2"/>
            <w:shd w:val="clear" w:color="auto" w:fill="auto"/>
            <w:vAlign w:val="center"/>
          </w:tcPr>
          <w:p w14:paraId="1988F845" w14:textId="5AA677BF" w:rsidR="0017759C" w:rsidRPr="00C2322F" w:rsidRDefault="00C820FA" w:rsidP="007C3BCB">
            <w:pPr>
              <w:rPr>
                <w:rFonts w:ascii="Arial" w:hAnsi="Arial" w:cs="Arial"/>
                <w:sz w:val="20"/>
              </w:rPr>
            </w:pPr>
            <w:r>
              <w:rPr>
                <w:rFonts w:ascii="Arial" w:hAnsi="Arial" w:cs="Arial"/>
                <w:sz w:val="20"/>
              </w:rPr>
              <w:t>Baldwin 101D</w:t>
            </w:r>
          </w:p>
        </w:tc>
        <w:tc>
          <w:tcPr>
            <w:tcW w:w="6840" w:type="dxa"/>
            <w:gridSpan w:val="2"/>
            <w:shd w:val="clear" w:color="auto" w:fill="auto"/>
          </w:tcPr>
          <w:p w14:paraId="36A921A5" w14:textId="77777777" w:rsidR="0017759C" w:rsidRPr="00C2322F" w:rsidRDefault="0017759C" w:rsidP="0017759C">
            <w:pPr>
              <w:rPr>
                <w:rFonts w:ascii="Arial" w:hAnsi="Arial" w:cs="Arial"/>
                <w:sz w:val="20"/>
              </w:rPr>
            </w:pPr>
          </w:p>
        </w:tc>
      </w:tr>
      <w:tr w:rsidR="00396748" w:rsidRPr="00C2322F" w14:paraId="5F74BDE1" w14:textId="77777777" w:rsidTr="00D76428">
        <w:tc>
          <w:tcPr>
            <w:tcW w:w="10340" w:type="dxa"/>
            <w:gridSpan w:val="4"/>
            <w:shd w:val="clear" w:color="auto" w:fill="auto"/>
          </w:tcPr>
          <w:p w14:paraId="70895452" w14:textId="77777777" w:rsidR="00396748" w:rsidRPr="00C2322F" w:rsidRDefault="00396748" w:rsidP="006F1AEA">
            <w:pPr>
              <w:rPr>
                <w:rFonts w:ascii="Arial" w:hAnsi="Arial" w:cs="Arial"/>
                <w:sz w:val="20"/>
              </w:rPr>
            </w:pPr>
          </w:p>
        </w:tc>
      </w:tr>
      <w:tr w:rsidR="006A74A2" w:rsidRPr="00C2322F" w14:paraId="0DFDE0D0" w14:textId="77777777" w:rsidTr="00D76428">
        <w:tc>
          <w:tcPr>
            <w:tcW w:w="10340" w:type="dxa"/>
            <w:gridSpan w:val="4"/>
            <w:shd w:val="clear" w:color="auto" w:fill="auto"/>
            <w:vAlign w:val="center"/>
          </w:tcPr>
          <w:p w14:paraId="1CA556C1"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0B3CCCBC" w14:textId="77777777" w:rsidTr="00D76428">
        <w:trPr>
          <w:trHeight w:val="89"/>
        </w:trPr>
        <w:tc>
          <w:tcPr>
            <w:tcW w:w="10340" w:type="dxa"/>
            <w:gridSpan w:val="4"/>
            <w:shd w:val="clear" w:color="auto" w:fill="auto"/>
          </w:tcPr>
          <w:p w14:paraId="5FA655F7" w14:textId="77777777" w:rsidR="006A74A2" w:rsidRPr="00C2322F" w:rsidRDefault="006A74A2" w:rsidP="006F1AEA">
            <w:pPr>
              <w:rPr>
                <w:rFonts w:ascii="Arial" w:hAnsi="Arial" w:cs="Arial"/>
                <w:sz w:val="10"/>
              </w:rPr>
            </w:pPr>
          </w:p>
        </w:tc>
      </w:tr>
      <w:tr w:rsidR="006A74A2" w:rsidRPr="00C2322F" w14:paraId="742224D7" w14:textId="77777777" w:rsidTr="00D76428">
        <w:tc>
          <w:tcPr>
            <w:tcW w:w="10340" w:type="dxa"/>
            <w:gridSpan w:val="4"/>
            <w:shd w:val="clear" w:color="auto" w:fill="auto"/>
          </w:tcPr>
          <w:p w14:paraId="36870045" w14:textId="2F0A863B" w:rsidR="008C6CBC" w:rsidRPr="00C2322F" w:rsidRDefault="00D4465A" w:rsidP="009F263F">
            <w:pPr>
              <w:rPr>
                <w:rFonts w:ascii="Arial" w:hAnsi="Arial" w:cs="Arial"/>
                <w:sz w:val="20"/>
                <w:szCs w:val="20"/>
              </w:rPr>
            </w:pPr>
            <w:r w:rsidRPr="00D4465A">
              <w:rPr>
                <w:rFonts w:ascii="Arial" w:hAnsi="Arial" w:cs="Arial"/>
                <w:sz w:val="20"/>
                <w:szCs w:val="20"/>
                <w:lang w:val="en"/>
              </w:rPr>
              <w:t>Individual rights and liberties, with emphasis on the First Amendment, other parts of the Bill of Rights, and the Fourteenth Amendment.</w:t>
            </w:r>
          </w:p>
        </w:tc>
      </w:tr>
      <w:tr w:rsidR="006A74A2" w:rsidRPr="00C2322F" w14:paraId="6D97A2B5" w14:textId="77777777" w:rsidTr="00D76428">
        <w:tc>
          <w:tcPr>
            <w:tcW w:w="10340" w:type="dxa"/>
            <w:gridSpan w:val="4"/>
            <w:shd w:val="clear" w:color="auto" w:fill="auto"/>
          </w:tcPr>
          <w:p w14:paraId="5CEC3AC6" w14:textId="77777777" w:rsidR="006A74A2" w:rsidRPr="00C2322F" w:rsidRDefault="006A74A2" w:rsidP="006F1AEA">
            <w:pPr>
              <w:rPr>
                <w:rFonts w:ascii="Arial" w:hAnsi="Arial" w:cs="Arial"/>
                <w:sz w:val="20"/>
              </w:rPr>
            </w:pPr>
          </w:p>
        </w:tc>
      </w:tr>
      <w:tr w:rsidR="006A74A2" w:rsidRPr="00C2322F" w14:paraId="460A8B96" w14:textId="77777777" w:rsidTr="00D76428">
        <w:tc>
          <w:tcPr>
            <w:tcW w:w="10340" w:type="dxa"/>
            <w:gridSpan w:val="4"/>
            <w:shd w:val="clear" w:color="auto" w:fill="auto"/>
            <w:vAlign w:val="center"/>
          </w:tcPr>
          <w:p w14:paraId="6D49DF5B" w14:textId="77777777" w:rsidR="006A74A2" w:rsidRPr="00C2322F" w:rsidRDefault="006A74A2" w:rsidP="00C2322F">
            <w:pPr>
              <w:jc w:val="center"/>
              <w:rPr>
                <w:rFonts w:ascii="Arial" w:hAnsi="Arial" w:cs="Arial"/>
                <w:b/>
                <w:sz w:val="20"/>
              </w:rPr>
            </w:pPr>
            <w:r w:rsidRPr="00C2322F">
              <w:rPr>
                <w:rFonts w:ascii="Arial" w:hAnsi="Arial" w:cs="Arial"/>
                <w:b/>
                <w:sz w:val="20"/>
              </w:rPr>
              <w:t>Learning Outcomes</w:t>
            </w:r>
            <w:r w:rsidR="00846D53" w:rsidRPr="00C2322F">
              <w:rPr>
                <w:rFonts w:ascii="Arial" w:hAnsi="Arial" w:cs="Arial"/>
                <w:b/>
                <w:sz w:val="20"/>
              </w:rPr>
              <w:t xml:space="preserve"> or Course Objectives</w:t>
            </w:r>
          </w:p>
        </w:tc>
      </w:tr>
      <w:tr w:rsidR="006A74A2" w:rsidRPr="00C2322F" w14:paraId="32052D46" w14:textId="77777777" w:rsidTr="00D76428">
        <w:trPr>
          <w:trHeight w:val="89"/>
        </w:trPr>
        <w:tc>
          <w:tcPr>
            <w:tcW w:w="10340" w:type="dxa"/>
            <w:gridSpan w:val="4"/>
            <w:shd w:val="clear" w:color="auto" w:fill="auto"/>
          </w:tcPr>
          <w:p w14:paraId="1D99D821" w14:textId="77777777" w:rsidR="006A74A2" w:rsidRPr="00C2322F" w:rsidRDefault="006A74A2" w:rsidP="006F1AEA">
            <w:pPr>
              <w:rPr>
                <w:rFonts w:ascii="Arial" w:hAnsi="Arial" w:cs="Arial"/>
                <w:sz w:val="10"/>
              </w:rPr>
            </w:pPr>
          </w:p>
        </w:tc>
      </w:tr>
      <w:tr w:rsidR="006A74A2" w:rsidRPr="00C2322F" w14:paraId="57E6C56E" w14:textId="77777777" w:rsidTr="00D76428">
        <w:tc>
          <w:tcPr>
            <w:tcW w:w="10340" w:type="dxa"/>
            <w:gridSpan w:val="4"/>
            <w:shd w:val="clear" w:color="auto" w:fill="auto"/>
          </w:tcPr>
          <w:p w14:paraId="0BA6B49E" w14:textId="77777777" w:rsidR="00632965" w:rsidRDefault="00632965" w:rsidP="006F1AEA">
            <w:pPr>
              <w:rPr>
                <w:rFonts w:ascii="Arial" w:hAnsi="Arial" w:cs="Arial"/>
                <w:sz w:val="20"/>
              </w:rPr>
            </w:pPr>
            <w:r>
              <w:rPr>
                <w:rFonts w:ascii="Arial" w:hAnsi="Arial" w:cs="Arial"/>
                <w:sz w:val="20"/>
              </w:rPr>
              <w:t>Students will be able to:</w:t>
            </w:r>
          </w:p>
          <w:p w14:paraId="156BD13E" w14:textId="77777777" w:rsidR="00632965" w:rsidRDefault="00445816" w:rsidP="006F1AEA">
            <w:pPr>
              <w:rPr>
                <w:rFonts w:ascii="Arial" w:hAnsi="Arial" w:cs="Arial"/>
                <w:sz w:val="20"/>
              </w:rPr>
            </w:pPr>
            <w:r>
              <w:rPr>
                <w:rFonts w:ascii="Arial" w:hAnsi="Arial" w:cs="Arial"/>
                <w:sz w:val="20"/>
              </w:rPr>
              <w:t>Read and summarize Supreme Court opinions</w:t>
            </w:r>
            <w:r w:rsidR="0030321B">
              <w:rPr>
                <w:rFonts w:ascii="Arial" w:hAnsi="Arial" w:cs="Arial"/>
                <w:sz w:val="20"/>
              </w:rPr>
              <w:t xml:space="preserve"> on constitutional law</w:t>
            </w:r>
          </w:p>
          <w:p w14:paraId="6446E1B5" w14:textId="77777777" w:rsidR="006A74A2" w:rsidRDefault="00445816" w:rsidP="00445816">
            <w:pPr>
              <w:rPr>
                <w:rFonts w:ascii="Arial" w:hAnsi="Arial" w:cs="Arial"/>
                <w:sz w:val="20"/>
              </w:rPr>
            </w:pPr>
            <w:r>
              <w:rPr>
                <w:rFonts w:ascii="Arial" w:hAnsi="Arial" w:cs="Arial"/>
                <w:sz w:val="20"/>
              </w:rPr>
              <w:t xml:space="preserve">Understand </w:t>
            </w:r>
            <w:r w:rsidR="0030321B">
              <w:rPr>
                <w:rFonts w:ascii="Arial" w:hAnsi="Arial" w:cs="Arial"/>
                <w:sz w:val="20"/>
              </w:rPr>
              <w:t>historical development</w:t>
            </w:r>
            <w:r w:rsidRPr="00445816">
              <w:rPr>
                <w:rFonts w:ascii="Arial" w:hAnsi="Arial" w:cs="Arial"/>
                <w:sz w:val="20"/>
              </w:rPr>
              <w:t xml:space="preserve"> and key precedents in </w:t>
            </w:r>
            <w:r w:rsidR="00B91F35">
              <w:rPr>
                <w:rFonts w:ascii="Arial" w:hAnsi="Arial" w:cs="Arial"/>
                <w:sz w:val="20"/>
              </w:rPr>
              <w:t>constitutional law</w:t>
            </w:r>
            <w:r w:rsidRPr="00445816">
              <w:rPr>
                <w:rFonts w:ascii="Arial" w:hAnsi="Arial" w:cs="Arial"/>
                <w:sz w:val="20"/>
              </w:rPr>
              <w:t>.</w:t>
            </w:r>
          </w:p>
          <w:p w14:paraId="0E4DC0B6" w14:textId="0D4528E1" w:rsidR="00632965" w:rsidRPr="00C2322F" w:rsidRDefault="0030321B" w:rsidP="00B40966">
            <w:pPr>
              <w:rPr>
                <w:rFonts w:ascii="Arial" w:hAnsi="Arial" w:cs="Arial"/>
                <w:sz w:val="20"/>
              </w:rPr>
            </w:pPr>
            <w:r>
              <w:rPr>
                <w:rFonts w:ascii="Arial" w:hAnsi="Arial" w:cs="Arial"/>
                <w:sz w:val="20"/>
              </w:rPr>
              <w:t>Discuss constitutional principles as they apply to civil liberties</w:t>
            </w:r>
            <w:r w:rsidR="00D4465A">
              <w:rPr>
                <w:rFonts w:ascii="Arial" w:hAnsi="Arial" w:cs="Arial"/>
                <w:sz w:val="20"/>
              </w:rPr>
              <w:t xml:space="preserve"> and</w:t>
            </w:r>
            <w:r>
              <w:rPr>
                <w:rFonts w:ascii="Arial" w:hAnsi="Arial" w:cs="Arial"/>
                <w:sz w:val="20"/>
              </w:rPr>
              <w:t xml:space="preserve"> civil rights.</w:t>
            </w:r>
          </w:p>
        </w:tc>
      </w:tr>
      <w:tr w:rsidR="008C6CBC" w:rsidRPr="00C2322F" w14:paraId="30DED7F2" w14:textId="77777777" w:rsidTr="00D76428">
        <w:tc>
          <w:tcPr>
            <w:tcW w:w="10340" w:type="dxa"/>
            <w:gridSpan w:val="4"/>
            <w:shd w:val="clear" w:color="auto" w:fill="auto"/>
          </w:tcPr>
          <w:p w14:paraId="4B30F975" w14:textId="77777777" w:rsidR="008C6CBC" w:rsidRPr="00C2322F" w:rsidRDefault="008C6CBC" w:rsidP="00DF49AC">
            <w:pPr>
              <w:rPr>
                <w:rFonts w:ascii="Arial" w:hAnsi="Arial" w:cs="Arial"/>
                <w:sz w:val="20"/>
              </w:rPr>
            </w:pPr>
          </w:p>
        </w:tc>
      </w:tr>
      <w:tr w:rsidR="0017759C" w:rsidRPr="00C2322F" w14:paraId="0EA2E819" w14:textId="77777777" w:rsidTr="00D76428">
        <w:tc>
          <w:tcPr>
            <w:tcW w:w="10340" w:type="dxa"/>
            <w:gridSpan w:val="4"/>
            <w:shd w:val="clear" w:color="auto" w:fill="auto"/>
            <w:vAlign w:val="center"/>
          </w:tcPr>
          <w:p w14:paraId="700F1B9A" w14:textId="77777777" w:rsidR="0017759C" w:rsidRPr="00C2322F" w:rsidRDefault="0017759C" w:rsidP="00C2322F">
            <w:pPr>
              <w:jc w:val="center"/>
              <w:rPr>
                <w:rFonts w:ascii="Arial" w:hAnsi="Arial" w:cs="Arial"/>
                <w:b/>
                <w:sz w:val="20"/>
              </w:rPr>
            </w:pPr>
            <w:r w:rsidRPr="00C2322F">
              <w:rPr>
                <w:rFonts w:ascii="Arial" w:hAnsi="Arial" w:cs="Arial"/>
                <w:b/>
                <w:sz w:val="20"/>
              </w:rPr>
              <w:t>Instructor Information</w:t>
            </w:r>
          </w:p>
        </w:tc>
      </w:tr>
      <w:tr w:rsidR="0017759C" w:rsidRPr="00C2322F" w14:paraId="3AF0205D" w14:textId="77777777" w:rsidTr="00D76428">
        <w:trPr>
          <w:trHeight w:val="89"/>
        </w:trPr>
        <w:tc>
          <w:tcPr>
            <w:tcW w:w="10340" w:type="dxa"/>
            <w:gridSpan w:val="4"/>
            <w:shd w:val="clear" w:color="auto" w:fill="auto"/>
          </w:tcPr>
          <w:p w14:paraId="1AAEB205" w14:textId="77777777" w:rsidR="0017759C" w:rsidRPr="00C2322F" w:rsidRDefault="0017759C">
            <w:pPr>
              <w:rPr>
                <w:rFonts w:ascii="Arial" w:hAnsi="Arial" w:cs="Arial"/>
                <w:sz w:val="10"/>
              </w:rPr>
            </w:pPr>
          </w:p>
        </w:tc>
      </w:tr>
      <w:tr w:rsidR="0017759C" w:rsidRPr="00C2322F" w14:paraId="43CA3E61" w14:textId="77777777" w:rsidTr="00D76428">
        <w:trPr>
          <w:trHeight w:val="288"/>
        </w:trPr>
        <w:tc>
          <w:tcPr>
            <w:tcW w:w="2870" w:type="dxa"/>
            <w:shd w:val="clear" w:color="auto" w:fill="auto"/>
            <w:vAlign w:val="center"/>
          </w:tcPr>
          <w:p w14:paraId="2916729E" w14:textId="77777777" w:rsidR="0017759C" w:rsidRPr="00C2322F" w:rsidRDefault="00D76428" w:rsidP="0017759C">
            <w:pPr>
              <w:rPr>
                <w:rFonts w:ascii="Arial" w:hAnsi="Arial" w:cs="Arial"/>
                <w:sz w:val="20"/>
              </w:rPr>
            </w:pPr>
            <w:r>
              <w:rPr>
                <w:rFonts w:ascii="Arial" w:hAnsi="Arial" w:cs="Arial"/>
                <w:sz w:val="20"/>
              </w:rPr>
              <w:t>Garrett Vande Kamp</w:t>
            </w:r>
          </w:p>
        </w:tc>
        <w:tc>
          <w:tcPr>
            <w:tcW w:w="7470" w:type="dxa"/>
            <w:gridSpan w:val="3"/>
            <w:shd w:val="clear" w:color="auto" w:fill="auto"/>
          </w:tcPr>
          <w:p w14:paraId="5D37E147" w14:textId="77777777" w:rsidR="0017759C" w:rsidRPr="00C2322F" w:rsidRDefault="0017759C">
            <w:pPr>
              <w:rPr>
                <w:rFonts w:ascii="Arial" w:hAnsi="Arial" w:cs="Arial"/>
                <w:sz w:val="20"/>
              </w:rPr>
            </w:pPr>
          </w:p>
        </w:tc>
      </w:tr>
      <w:tr w:rsidR="006A74A2" w:rsidRPr="00C2322F" w14:paraId="375C9AE7" w14:textId="77777777" w:rsidTr="00D76428">
        <w:trPr>
          <w:trHeight w:val="288"/>
        </w:trPr>
        <w:tc>
          <w:tcPr>
            <w:tcW w:w="2870" w:type="dxa"/>
            <w:shd w:val="clear" w:color="auto" w:fill="auto"/>
            <w:vAlign w:val="center"/>
          </w:tcPr>
          <w:p w14:paraId="40C7E40F" w14:textId="429F11EB" w:rsidR="006A74A2" w:rsidRPr="00C2322F" w:rsidRDefault="00D76428" w:rsidP="006F1AEA">
            <w:pPr>
              <w:rPr>
                <w:rFonts w:ascii="Arial" w:hAnsi="Arial" w:cs="Arial"/>
                <w:sz w:val="20"/>
              </w:rPr>
            </w:pPr>
            <w:r>
              <w:rPr>
                <w:rFonts w:ascii="Arial" w:hAnsi="Arial" w:cs="Arial"/>
                <w:sz w:val="20"/>
              </w:rPr>
              <w:t>garrettvandekamp@</w:t>
            </w:r>
            <w:r w:rsidR="00D4465A">
              <w:rPr>
                <w:rFonts w:ascii="Arial" w:hAnsi="Arial" w:cs="Arial"/>
                <w:sz w:val="20"/>
              </w:rPr>
              <w:t>uga</w:t>
            </w:r>
            <w:r>
              <w:rPr>
                <w:rFonts w:ascii="Arial" w:hAnsi="Arial" w:cs="Arial"/>
                <w:sz w:val="20"/>
              </w:rPr>
              <w:t>.edu</w:t>
            </w:r>
          </w:p>
        </w:tc>
        <w:tc>
          <w:tcPr>
            <w:tcW w:w="7470" w:type="dxa"/>
            <w:gridSpan w:val="3"/>
            <w:shd w:val="clear" w:color="auto" w:fill="auto"/>
          </w:tcPr>
          <w:p w14:paraId="4F84DE9A" w14:textId="77777777" w:rsidR="006A74A2" w:rsidRPr="00C2322F" w:rsidRDefault="006A74A2" w:rsidP="006F1AEA">
            <w:pPr>
              <w:rPr>
                <w:rFonts w:ascii="Arial" w:hAnsi="Arial" w:cs="Arial"/>
                <w:sz w:val="20"/>
              </w:rPr>
            </w:pPr>
          </w:p>
        </w:tc>
      </w:tr>
      <w:tr w:rsidR="006A74A2" w:rsidRPr="00C2322F" w14:paraId="326DE9CA" w14:textId="77777777" w:rsidTr="00D76428">
        <w:trPr>
          <w:trHeight w:val="288"/>
        </w:trPr>
        <w:tc>
          <w:tcPr>
            <w:tcW w:w="2870" w:type="dxa"/>
            <w:shd w:val="clear" w:color="auto" w:fill="auto"/>
            <w:vAlign w:val="center"/>
          </w:tcPr>
          <w:p w14:paraId="76AF6B67" w14:textId="2D0C8324" w:rsidR="006A74A2" w:rsidRPr="00C2322F" w:rsidRDefault="00D4465A" w:rsidP="006F1AEA">
            <w:pPr>
              <w:rPr>
                <w:rFonts w:ascii="Arial" w:hAnsi="Arial" w:cs="Arial"/>
                <w:sz w:val="20"/>
              </w:rPr>
            </w:pPr>
            <w:r>
              <w:rPr>
                <w:rFonts w:ascii="Arial" w:hAnsi="Arial" w:cs="Arial"/>
                <w:sz w:val="20"/>
              </w:rPr>
              <w:t>Baldwin 409</w:t>
            </w:r>
          </w:p>
        </w:tc>
        <w:tc>
          <w:tcPr>
            <w:tcW w:w="7470" w:type="dxa"/>
            <w:gridSpan w:val="3"/>
            <w:shd w:val="clear" w:color="auto" w:fill="auto"/>
          </w:tcPr>
          <w:p w14:paraId="42B8464E" w14:textId="77777777" w:rsidR="006A74A2" w:rsidRPr="00C2322F" w:rsidRDefault="006A74A2" w:rsidP="006F1AEA">
            <w:pPr>
              <w:rPr>
                <w:rFonts w:ascii="Arial" w:hAnsi="Arial" w:cs="Arial"/>
                <w:sz w:val="20"/>
              </w:rPr>
            </w:pPr>
          </w:p>
        </w:tc>
      </w:tr>
      <w:tr w:rsidR="0017759C" w:rsidRPr="00C2322F" w14:paraId="6C11158C" w14:textId="77777777" w:rsidTr="00D76428">
        <w:trPr>
          <w:trHeight w:val="288"/>
        </w:trPr>
        <w:tc>
          <w:tcPr>
            <w:tcW w:w="2870" w:type="dxa"/>
            <w:shd w:val="clear" w:color="auto" w:fill="auto"/>
            <w:vAlign w:val="center"/>
          </w:tcPr>
          <w:p w14:paraId="3DAEC0DA" w14:textId="77777777" w:rsidR="0017759C" w:rsidRPr="00C2322F" w:rsidRDefault="00D76428" w:rsidP="0017759C">
            <w:pPr>
              <w:rPr>
                <w:rFonts w:ascii="Arial" w:hAnsi="Arial" w:cs="Arial"/>
                <w:sz w:val="20"/>
              </w:rPr>
            </w:pPr>
            <w:r>
              <w:rPr>
                <w:rFonts w:ascii="Arial" w:hAnsi="Arial" w:cs="Arial"/>
                <w:sz w:val="20"/>
              </w:rPr>
              <w:t>Tuesday 10:00am-Noon</w:t>
            </w:r>
          </w:p>
        </w:tc>
        <w:tc>
          <w:tcPr>
            <w:tcW w:w="7470" w:type="dxa"/>
            <w:gridSpan w:val="3"/>
            <w:shd w:val="clear" w:color="auto" w:fill="auto"/>
          </w:tcPr>
          <w:p w14:paraId="74293632" w14:textId="77777777" w:rsidR="0017759C" w:rsidRPr="00C2322F" w:rsidRDefault="0017759C">
            <w:pPr>
              <w:rPr>
                <w:rFonts w:ascii="Arial" w:hAnsi="Arial" w:cs="Arial"/>
                <w:sz w:val="20"/>
              </w:rPr>
            </w:pPr>
          </w:p>
        </w:tc>
      </w:tr>
      <w:tr w:rsidR="00396748" w:rsidRPr="00C2322F" w14:paraId="1E4F94B5" w14:textId="77777777" w:rsidTr="00D76428">
        <w:tc>
          <w:tcPr>
            <w:tcW w:w="10340" w:type="dxa"/>
            <w:gridSpan w:val="4"/>
            <w:shd w:val="clear" w:color="auto" w:fill="auto"/>
          </w:tcPr>
          <w:p w14:paraId="66747F96" w14:textId="77777777" w:rsidR="000463E9" w:rsidRPr="00C2322F" w:rsidRDefault="000463E9" w:rsidP="006F1AEA">
            <w:pPr>
              <w:rPr>
                <w:rFonts w:ascii="Arial" w:hAnsi="Arial" w:cs="Arial"/>
                <w:sz w:val="20"/>
              </w:rPr>
            </w:pPr>
          </w:p>
        </w:tc>
      </w:tr>
      <w:tr w:rsidR="00654087" w:rsidRPr="00C2322F" w14:paraId="5A9024C0" w14:textId="77777777" w:rsidTr="00D76428">
        <w:tc>
          <w:tcPr>
            <w:tcW w:w="10340" w:type="dxa"/>
            <w:gridSpan w:val="4"/>
            <w:shd w:val="clear" w:color="auto" w:fill="auto"/>
          </w:tcPr>
          <w:p w14:paraId="6E0896DA" w14:textId="77777777" w:rsidR="00654087" w:rsidRPr="00C2322F" w:rsidRDefault="00654087" w:rsidP="00C2322F">
            <w:pPr>
              <w:jc w:val="center"/>
              <w:rPr>
                <w:rFonts w:ascii="Arial" w:hAnsi="Arial" w:cs="Arial"/>
                <w:b/>
                <w:sz w:val="20"/>
              </w:rPr>
            </w:pPr>
            <w:r w:rsidRPr="00C2322F">
              <w:rPr>
                <w:rFonts w:ascii="Arial" w:hAnsi="Arial" w:cs="Arial"/>
                <w:b/>
                <w:sz w:val="20"/>
              </w:rPr>
              <w:t>Textbook and/or Resource Material</w:t>
            </w:r>
          </w:p>
        </w:tc>
      </w:tr>
      <w:tr w:rsidR="00654087" w:rsidRPr="00C2322F" w14:paraId="0BA4969D" w14:textId="77777777" w:rsidTr="00D76428">
        <w:trPr>
          <w:trHeight w:val="89"/>
        </w:trPr>
        <w:tc>
          <w:tcPr>
            <w:tcW w:w="10340" w:type="dxa"/>
            <w:gridSpan w:val="4"/>
            <w:shd w:val="clear" w:color="auto" w:fill="auto"/>
          </w:tcPr>
          <w:p w14:paraId="66DEC7D1" w14:textId="77777777" w:rsidR="00654087" w:rsidRPr="00C2322F" w:rsidRDefault="00654087" w:rsidP="0017759C">
            <w:pPr>
              <w:rPr>
                <w:rFonts w:ascii="Arial" w:hAnsi="Arial" w:cs="Arial"/>
                <w:sz w:val="10"/>
              </w:rPr>
            </w:pPr>
          </w:p>
        </w:tc>
      </w:tr>
      <w:tr w:rsidR="00654087" w:rsidRPr="00C2322F" w14:paraId="68E7AC89" w14:textId="77777777" w:rsidTr="00D76428">
        <w:tc>
          <w:tcPr>
            <w:tcW w:w="10340" w:type="dxa"/>
            <w:gridSpan w:val="4"/>
            <w:shd w:val="clear" w:color="auto" w:fill="auto"/>
          </w:tcPr>
          <w:p w14:paraId="4432B7E9" w14:textId="77777777" w:rsidR="00654087" w:rsidRDefault="000C158F" w:rsidP="0017759C">
            <w:pPr>
              <w:rPr>
                <w:rFonts w:ascii="Arial" w:hAnsi="Arial" w:cs="Arial"/>
                <w:sz w:val="20"/>
              </w:rPr>
            </w:pPr>
            <w:r w:rsidRPr="000C158F">
              <w:rPr>
                <w:rFonts w:ascii="Arial" w:hAnsi="Arial" w:cs="Arial"/>
                <w:sz w:val="20"/>
              </w:rPr>
              <w:t>Textbook</w:t>
            </w:r>
            <w:r>
              <w:rPr>
                <w:rFonts w:ascii="Arial" w:hAnsi="Arial" w:cs="Arial"/>
                <w:i/>
                <w:sz w:val="20"/>
              </w:rPr>
              <w:t xml:space="preserve">: </w:t>
            </w:r>
            <w:r w:rsidR="00193C9B">
              <w:rPr>
                <w:rFonts w:ascii="Arial" w:hAnsi="Arial" w:cs="Arial"/>
                <w:i/>
                <w:sz w:val="20"/>
              </w:rPr>
              <w:t>Constitutional Law for a Changing America: Rights, Liberties, and Justice</w:t>
            </w:r>
            <w:r w:rsidR="00193C9B">
              <w:rPr>
                <w:rFonts w:ascii="Arial" w:hAnsi="Arial" w:cs="Arial"/>
                <w:sz w:val="20"/>
              </w:rPr>
              <w:t>, 9</w:t>
            </w:r>
            <w:r w:rsidR="00D76428" w:rsidRPr="00D76428">
              <w:rPr>
                <w:rFonts w:ascii="Arial" w:hAnsi="Arial" w:cs="Arial"/>
                <w:sz w:val="20"/>
                <w:vertAlign w:val="superscript"/>
              </w:rPr>
              <w:t>th</w:t>
            </w:r>
            <w:r w:rsidR="00D76428">
              <w:rPr>
                <w:rFonts w:ascii="Arial" w:hAnsi="Arial" w:cs="Arial"/>
                <w:sz w:val="20"/>
              </w:rPr>
              <w:t xml:space="preserve"> Edition. </w:t>
            </w:r>
            <w:r w:rsidR="00193C9B">
              <w:rPr>
                <w:rFonts w:ascii="Arial" w:hAnsi="Arial" w:cs="Arial"/>
                <w:sz w:val="20"/>
              </w:rPr>
              <w:t>Epst</w:t>
            </w:r>
            <w:r w:rsidR="009F263F">
              <w:rPr>
                <w:rFonts w:ascii="Arial" w:hAnsi="Arial" w:cs="Arial"/>
                <w:sz w:val="20"/>
              </w:rPr>
              <w:t>ein, Lee and Thomas G. Walker.</w:t>
            </w:r>
          </w:p>
          <w:p w14:paraId="68C64C4B" w14:textId="77777777" w:rsidR="00632965" w:rsidRDefault="00632965" w:rsidP="0017759C">
            <w:pPr>
              <w:rPr>
                <w:rFonts w:ascii="Arial" w:hAnsi="Arial" w:cs="Arial"/>
                <w:sz w:val="20"/>
              </w:rPr>
            </w:pPr>
            <w:r>
              <w:rPr>
                <w:rFonts w:ascii="Arial" w:hAnsi="Arial" w:cs="Arial"/>
                <w:sz w:val="20"/>
              </w:rPr>
              <w:t>All other necessary materials will be provided by the professor or through access to the university’s resources available freely to students.</w:t>
            </w:r>
          </w:p>
          <w:p w14:paraId="1A69D39B" w14:textId="77777777" w:rsidR="00884395" w:rsidRPr="00D76428" w:rsidRDefault="00884395" w:rsidP="0017759C">
            <w:pPr>
              <w:rPr>
                <w:rFonts w:ascii="Arial" w:hAnsi="Arial" w:cs="Arial"/>
                <w:sz w:val="20"/>
              </w:rPr>
            </w:pPr>
          </w:p>
        </w:tc>
      </w:tr>
      <w:tr w:rsidR="00396748" w:rsidRPr="00C2322F" w14:paraId="28A8E308" w14:textId="77777777" w:rsidTr="00D76428">
        <w:tc>
          <w:tcPr>
            <w:tcW w:w="10340" w:type="dxa"/>
            <w:gridSpan w:val="4"/>
            <w:shd w:val="clear" w:color="auto" w:fill="auto"/>
          </w:tcPr>
          <w:p w14:paraId="1AD2EBB3" w14:textId="77777777" w:rsidR="00396748" w:rsidRPr="00C2322F" w:rsidRDefault="00396748" w:rsidP="006F1AEA">
            <w:pPr>
              <w:rPr>
                <w:rFonts w:ascii="Arial" w:hAnsi="Arial" w:cs="Arial"/>
                <w:sz w:val="20"/>
              </w:rPr>
            </w:pPr>
          </w:p>
        </w:tc>
      </w:tr>
      <w:tr w:rsidR="00884395" w:rsidRPr="00C2322F" w14:paraId="7D0C55C4" w14:textId="77777777" w:rsidTr="00D76428">
        <w:tc>
          <w:tcPr>
            <w:tcW w:w="10340" w:type="dxa"/>
            <w:gridSpan w:val="4"/>
            <w:shd w:val="clear" w:color="auto" w:fill="auto"/>
          </w:tcPr>
          <w:p w14:paraId="721A7BCD" w14:textId="77777777" w:rsidR="00884395" w:rsidRPr="00C2322F" w:rsidRDefault="00884395" w:rsidP="00884395">
            <w:pPr>
              <w:jc w:val="center"/>
              <w:rPr>
                <w:rFonts w:ascii="Arial" w:hAnsi="Arial" w:cs="Arial"/>
                <w:b/>
                <w:sz w:val="20"/>
              </w:rPr>
            </w:pPr>
            <w:r>
              <w:rPr>
                <w:rFonts w:ascii="Arial" w:hAnsi="Arial" w:cs="Arial"/>
                <w:b/>
                <w:sz w:val="20"/>
              </w:rPr>
              <w:t>Attendance Policy</w:t>
            </w:r>
          </w:p>
        </w:tc>
      </w:tr>
      <w:tr w:rsidR="00884395" w:rsidRPr="00C2322F" w14:paraId="29F7DE53" w14:textId="77777777" w:rsidTr="0014674F">
        <w:tc>
          <w:tcPr>
            <w:tcW w:w="10340" w:type="dxa"/>
            <w:gridSpan w:val="4"/>
            <w:shd w:val="clear" w:color="auto" w:fill="auto"/>
          </w:tcPr>
          <w:p w14:paraId="5D43286D" w14:textId="77777777" w:rsidR="00884395" w:rsidRDefault="00884395" w:rsidP="0014674F">
            <w:pPr>
              <w:tabs>
                <w:tab w:val="center" w:pos="5062"/>
              </w:tabs>
              <w:rPr>
                <w:rFonts w:ascii="Arial" w:hAnsi="Arial" w:cs="Arial"/>
                <w:sz w:val="20"/>
                <w:szCs w:val="20"/>
              </w:rPr>
            </w:pPr>
            <w:r>
              <w:rPr>
                <w:rFonts w:ascii="Arial" w:hAnsi="Arial" w:cs="Arial"/>
                <w:sz w:val="20"/>
                <w:szCs w:val="20"/>
              </w:rPr>
              <w:t>Attendance will be taken in cla</w:t>
            </w:r>
            <w:r w:rsidR="00255267">
              <w:rPr>
                <w:rFonts w:ascii="Arial" w:hAnsi="Arial" w:cs="Arial"/>
                <w:sz w:val="20"/>
                <w:szCs w:val="20"/>
              </w:rPr>
              <w:t>ss for the instructor’s records. Though attendance to any given class is generally discretionary, it may inform students’ participation grades.</w:t>
            </w:r>
          </w:p>
          <w:p w14:paraId="7472D0E9" w14:textId="77777777" w:rsidR="00884395" w:rsidRDefault="00884395" w:rsidP="0014674F">
            <w:pPr>
              <w:tabs>
                <w:tab w:val="center" w:pos="5062"/>
              </w:tabs>
              <w:rPr>
                <w:rFonts w:ascii="Arial" w:hAnsi="Arial" w:cs="Arial"/>
                <w:sz w:val="20"/>
                <w:szCs w:val="20"/>
              </w:rPr>
            </w:pPr>
          </w:p>
          <w:p w14:paraId="73C56963" w14:textId="77777777" w:rsidR="00130F15" w:rsidRDefault="00D1532C" w:rsidP="00255267">
            <w:pPr>
              <w:tabs>
                <w:tab w:val="center" w:pos="5062"/>
              </w:tabs>
              <w:rPr>
                <w:rFonts w:ascii="Arial" w:hAnsi="Arial" w:cs="Arial"/>
                <w:sz w:val="20"/>
              </w:rPr>
            </w:pPr>
            <w:r>
              <w:rPr>
                <w:rFonts w:ascii="Arial" w:hAnsi="Arial" w:cs="Arial"/>
                <w:sz w:val="20"/>
                <w:szCs w:val="20"/>
              </w:rPr>
              <w:t xml:space="preserve">Attendance to </w:t>
            </w:r>
            <w:r w:rsidR="00255267">
              <w:rPr>
                <w:rFonts w:ascii="Arial" w:hAnsi="Arial" w:cs="Arial"/>
                <w:sz w:val="20"/>
                <w:szCs w:val="20"/>
              </w:rPr>
              <w:t xml:space="preserve">quizzes and </w:t>
            </w:r>
            <w:r>
              <w:rPr>
                <w:rFonts w:ascii="Arial" w:hAnsi="Arial" w:cs="Arial"/>
                <w:sz w:val="20"/>
                <w:szCs w:val="20"/>
              </w:rPr>
              <w:t xml:space="preserve">exams is mandatory. </w:t>
            </w:r>
            <w:r w:rsidR="00255267">
              <w:rPr>
                <w:rFonts w:ascii="Arial" w:hAnsi="Arial" w:cs="Arial"/>
                <w:sz w:val="20"/>
                <w:szCs w:val="20"/>
              </w:rPr>
              <w:t xml:space="preserve">Attendance is also mandatory for a student who will be presenting on a given day. </w:t>
            </w:r>
            <w:r>
              <w:rPr>
                <w:rFonts w:ascii="Arial" w:hAnsi="Arial" w:cs="Arial"/>
                <w:sz w:val="20"/>
                <w:szCs w:val="20"/>
              </w:rPr>
              <w:t xml:space="preserve">Make-up exams are at the discretion of the professor, but will always be within a week of the exam date. University-excused absences will always guarantee a make-up </w:t>
            </w:r>
            <w:r w:rsidR="00280197">
              <w:rPr>
                <w:rFonts w:ascii="Arial" w:hAnsi="Arial" w:cs="Arial"/>
                <w:sz w:val="20"/>
                <w:szCs w:val="20"/>
              </w:rPr>
              <w:t>attempt</w:t>
            </w:r>
            <w:r>
              <w:rPr>
                <w:rFonts w:ascii="Arial" w:hAnsi="Arial" w:cs="Arial"/>
                <w:sz w:val="20"/>
                <w:szCs w:val="20"/>
              </w:rPr>
              <w:t>.</w:t>
            </w:r>
            <w:r w:rsidR="00632965">
              <w:rPr>
                <w:rFonts w:ascii="Arial" w:hAnsi="Arial" w:cs="Arial"/>
                <w:sz w:val="20"/>
                <w:szCs w:val="20"/>
              </w:rPr>
              <w:t xml:space="preserve"> </w:t>
            </w:r>
            <w:r w:rsidR="00632965">
              <w:rPr>
                <w:rFonts w:ascii="Arial" w:hAnsi="Arial" w:cs="Arial"/>
                <w:sz w:val="20"/>
              </w:rPr>
              <w:t>Quizzes will be announced at least one class period before they are scheduled. Exams</w:t>
            </w:r>
            <w:r w:rsidR="00280197">
              <w:rPr>
                <w:rFonts w:ascii="Arial" w:hAnsi="Arial" w:cs="Arial"/>
                <w:sz w:val="20"/>
              </w:rPr>
              <w:t xml:space="preserve"> and presentations for students</w:t>
            </w:r>
            <w:r w:rsidR="00632965">
              <w:rPr>
                <w:rFonts w:ascii="Arial" w:hAnsi="Arial" w:cs="Arial"/>
                <w:sz w:val="20"/>
              </w:rPr>
              <w:t xml:space="preserve"> will be announced at least one week before they are scheduled.</w:t>
            </w:r>
          </w:p>
          <w:p w14:paraId="7768E6C9" w14:textId="77777777" w:rsidR="00130F15" w:rsidRDefault="00130F15" w:rsidP="00255267">
            <w:pPr>
              <w:tabs>
                <w:tab w:val="center" w:pos="5062"/>
              </w:tabs>
              <w:rPr>
                <w:rFonts w:ascii="Arial" w:hAnsi="Arial" w:cs="Arial"/>
                <w:sz w:val="20"/>
              </w:rPr>
            </w:pPr>
          </w:p>
          <w:p w14:paraId="0E6A958C" w14:textId="77777777" w:rsidR="00130F15" w:rsidRPr="00C2322F" w:rsidRDefault="00130F15" w:rsidP="00255267">
            <w:pPr>
              <w:tabs>
                <w:tab w:val="center" w:pos="5062"/>
              </w:tabs>
              <w:rPr>
                <w:rFonts w:ascii="Arial" w:hAnsi="Arial" w:cs="Arial"/>
                <w:sz w:val="20"/>
                <w:szCs w:val="20"/>
              </w:rPr>
            </w:pPr>
            <w:r>
              <w:rPr>
                <w:rFonts w:ascii="Arial" w:hAnsi="Arial" w:cs="Arial"/>
                <w:sz w:val="20"/>
              </w:rPr>
              <w:t xml:space="preserve">For more information on attendance requirements, see </w:t>
            </w:r>
            <w:r w:rsidRPr="00130F15">
              <w:rPr>
                <w:rFonts w:ascii="Arial" w:hAnsi="Arial" w:cs="Arial"/>
                <w:sz w:val="20"/>
              </w:rPr>
              <w:t>https://student-rules.tamu.edu/rule07/</w:t>
            </w:r>
          </w:p>
        </w:tc>
      </w:tr>
      <w:tr w:rsidR="00884395" w:rsidRPr="00C2322F" w14:paraId="43A58F88" w14:textId="77777777" w:rsidTr="0014674F">
        <w:tc>
          <w:tcPr>
            <w:tcW w:w="10340" w:type="dxa"/>
            <w:gridSpan w:val="4"/>
            <w:shd w:val="clear" w:color="auto" w:fill="auto"/>
          </w:tcPr>
          <w:p w14:paraId="2518CE0D" w14:textId="77777777" w:rsidR="00884395" w:rsidRPr="00C2322F" w:rsidRDefault="00884395" w:rsidP="0014674F">
            <w:pPr>
              <w:rPr>
                <w:rFonts w:ascii="Arial" w:hAnsi="Arial" w:cs="Arial"/>
                <w:sz w:val="20"/>
              </w:rPr>
            </w:pPr>
          </w:p>
        </w:tc>
      </w:tr>
      <w:tr w:rsidR="00884395" w:rsidRPr="00C2322F" w14:paraId="6B786FB5" w14:textId="77777777" w:rsidTr="0014674F">
        <w:tc>
          <w:tcPr>
            <w:tcW w:w="10340" w:type="dxa"/>
            <w:gridSpan w:val="4"/>
            <w:shd w:val="clear" w:color="auto" w:fill="auto"/>
          </w:tcPr>
          <w:p w14:paraId="418020D5" w14:textId="77777777" w:rsidR="00884395" w:rsidRPr="00C2322F" w:rsidRDefault="00884395" w:rsidP="00884395">
            <w:pPr>
              <w:jc w:val="center"/>
              <w:rPr>
                <w:rFonts w:ascii="Arial" w:hAnsi="Arial" w:cs="Arial"/>
                <w:b/>
                <w:sz w:val="20"/>
              </w:rPr>
            </w:pPr>
            <w:r w:rsidRPr="00C2322F">
              <w:rPr>
                <w:rFonts w:ascii="Arial" w:hAnsi="Arial" w:cs="Arial"/>
                <w:b/>
                <w:sz w:val="20"/>
              </w:rPr>
              <w:t>Grading Policies</w:t>
            </w:r>
          </w:p>
        </w:tc>
      </w:tr>
      <w:tr w:rsidR="00884395" w:rsidRPr="00C2322F" w14:paraId="056046B0" w14:textId="77777777" w:rsidTr="00D76428">
        <w:trPr>
          <w:trHeight w:val="89"/>
        </w:trPr>
        <w:tc>
          <w:tcPr>
            <w:tcW w:w="10340" w:type="dxa"/>
            <w:gridSpan w:val="4"/>
            <w:shd w:val="clear" w:color="auto" w:fill="auto"/>
          </w:tcPr>
          <w:p w14:paraId="066254EA" w14:textId="77777777" w:rsidR="00884395" w:rsidRPr="00C2322F" w:rsidRDefault="00884395" w:rsidP="00884395">
            <w:pPr>
              <w:rPr>
                <w:rFonts w:ascii="Arial" w:hAnsi="Arial" w:cs="Arial"/>
                <w:sz w:val="10"/>
              </w:rPr>
            </w:pPr>
          </w:p>
        </w:tc>
      </w:tr>
      <w:tr w:rsidR="00884395" w:rsidRPr="00C2322F" w14:paraId="5B98D8A6" w14:textId="77777777" w:rsidTr="00193C9B">
        <w:trPr>
          <w:trHeight w:val="1188"/>
        </w:trPr>
        <w:tc>
          <w:tcPr>
            <w:tcW w:w="10340" w:type="dxa"/>
            <w:gridSpan w:val="4"/>
            <w:shd w:val="clear" w:color="auto" w:fill="auto"/>
          </w:tcPr>
          <w:p w14:paraId="598491D2" w14:textId="33731685" w:rsidR="00EA6FFA" w:rsidRDefault="00EA6FFA" w:rsidP="00884395">
            <w:pPr>
              <w:tabs>
                <w:tab w:val="center" w:pos="5062"/>
              </w:tabs>
              <w:rPr>
                <w:rFonts w:ascii="Arial" w:hAnsi="Arial" w:cs="Arial"/>
                <w:sz w:val="20"/>
                <w:szCs w:val="20"/>
              </w:rPr>
            </w:pPr>
            <w:r>
              <w:rPr>
                <w:rFonts w:ascii="Arial" w:hAnsi="Arial" w:cs="Arial"/>
                <w:sz w:val="20"/>
                <w:szCs w:val="20"/>
              </w:rPr>
              <w:t>Case Briefs/Presentations</w:t>
            </w:r>
            <w:r>
              <w:rPr>
                <w:rFonts w:ascii="Arial" w:hAnsi="Arial" w:cs="Arial"/>
                <w:sz w:val="20"/>
                <w:szCs w:val="20"/>
              </w:rPr>
              <w:tab/>
            </w:r>
            <w:r w:rsidR="00D14480">
              <w:rPr>
                <w:rFonts w:ascii="Arial" w:hAnsi="Arial" w:cs="Arial"/>
                <w:sz w:val="20"/>
                <w:szCs w:val="20"/>
              </w:rPr>
              <w:t>5</w:t>
            </w:r>
            <w:r>
              <w:rPr>
                <w:rFonts w:ascii="Arial" w:hAnsi="Arial" w:cs="Arial"/>
                <w:sz w:val="20"/>
                <w:szCs w:val="20"/>
              </w:rPr>
              <w:t>0%</w:t>
            </w:r>
          </w:p>
          <w:p w14:paraId="68BC0127" w14:textId="3B4EAD76" w:rsidR="00EA6FFA" w:rsidRDefault="00EA6FFA" w:rsidP="00884395">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0F852F14" w14:textId="31B9084F" w:rsidR="00884395" w:rsidRDefault="00B9408D" w:rsidP="00884395">
            <w:pPr>
              <w:tabs>
                <w:tab w:val="center" w:pos="5062"/>
              </w:tabs>
              <w:rPr>
                <w:rFonts w:ascii="Arial" w:hAnsi="Arial" w:cs="Arial"/>
                <w:sz w:val="20"/>
                <w:szCs w:val="20"/>
              </w:rPr>
            </w:pPr>
            <w:r>
              <w:rPr>
                <w:rFonts w:ascii="Arial" w:hAnsi="Arial" w:cs="Arial"/>
                <w:sz w:val="20"/>
                <w:szCs w:val="20"/>
              </w:rPr>
              <w:t>Quizzes</w:t>
            </w:r>
            <w:r w:rsidR="00D868C2">
              <w:rPr>
                <w:rFonts w:ascii="Arial" w:hAnsi="Arial" w:cs="Arial"/>
                <w:sz w:val="20"/>
                <w:szCs w:val="20"/>
              </w:rPr>
              <w:tab/>
            </w:r>
            <w:r>
              <w:rPr>
                <w:rFonts w:ascii="Arial" w:hAnsi="Arial" w:cs="Arial"/>
                <w:sz w:val="20"/>
                <w:szCs w:val="20"/>
              </w:rPr>
              <w:t>1</w:t>
            </w:r>
            <w:r w:rsidR="00D14480">
              <w:rPr>
                <w:rFonts w:ascii="Arial" w:hAnsi="Arial" w:cs="Arial"/>
                <w:sz w:val="20"/>
                <w:szCs w:val="20"/>
              </w:rPr>
              <w:t>5</w:t>
            </w:r>
            <w:r w:rsidR="00884395">
              <w:rPr>
                <w:rFonts w:ascii="Arial" w:hAnsi="Arial" w:cs="Arial"/>
                <w:sz w:val="20"/>
                <w:szCs w:val="20"/>
              </w:rPr>
              <w:t>%</w:t>
            </w:r>
          </w:p>
          <w:p w14:paraId="036BDA0D" w14:textId="4CDC1A62" w:rsidR="00D1532C" w:rsidRPr="00C2322F" w:rsidRDefault="00884395" w:rsidP="00884395">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r>
            <w:r w:rsidR="00D14480">
              <w:rPr>
                <w:rFonts w:ascii="Arial" w:hAnsi="Arial" w:cs="Arial"/>
                <w:sz w:val="20"/>
                <w:szCs w:val="20"/>
              </w:rPr>
              <w:t>5</w:t>
            </w:r>
            <w:r>
              <w:rPr>
                <w:rFonts w:ascii="Arial" w:hAnsi="Arial" w:cs="Arial"/>
                <w:sz w:val="20"/>
                <w:szCs w:val="20"/>
              </w:rPr>
              <w:t>%</w:t>
            </w:r>
          </w:p>
        </w:tc>
      </w:tr>
      <w:tr w:rsidR="00884395" w:rsidRPr="00C2322F" w14:paraId="7B276F42" w14:textId="77777777" w:rsidTr="00D76428">
        <w:tc>
          <w:tcPr>
            <w:tcW w:w="10340" w:type="dxa"/>
            <w:gridSpan w:val="4"/>
            <w:shd w:val="clear" w:color="auto" w:fill="auto"/>
          </w:tcPr>
          <w:p w14:paraId="11BC2D6D" w14:textId="77777777" w:rsidR="00884395" w:rsidRPr="00C2322F" w:rsidRDefault="00884395" w:rsidP="00884395">
            <w:pPr>
              <w:rPr>
                <w:rFonts w:ascii="Arial" w:hAnsi="Arial" w:cs="Arial"/>
                <w:sz w:val="20"/>
              </w:rPr>
            </w:pPr>
          </w:p>
        </w:tc>
      </w:tr>
      <w:tr w:rsidR="00884395" w:rsidRPr="00C2322F" w14:paraId="73C813B0" w14:textId="77777777" w:rsidTr="00D76428">
        <w:tc>
          <w:tcPr>
            <w:tcW w:w="10340" w:type="dxa"/>
            <w:gridSpan w:val="4"/>
            <w:shd w:val="clear" w:color="auto" w:fill="auto"/>
          </w:tcPr>
          <w:p w14:paraId="57EC9572" w14:textId="23D7B002" w:rsidR="001E1D90" w:rsidRDefault="001E1D90" w:rsidP="001E1D90">
            <w:pPr>
              <w:rPr>
                <w:rFonts w:ascii="Arial" w:hAnsi="Arial" w:cs="Arial"/>
                <w:sz w:val="20"/>
              </w:rPr>
            </w:pPr>
            <w:r>
              <w:rPr>
                <w:rFonts w:ascii="Arial" w:hAnsi="Arial" w:cs="Arial"/>
                <w:sz w:val="20"/>
              </w:rPr>
              <w:t xml:space="preserve">Assignments will receive due dates. Unless otherwise specified in writing, all assignments that are due on scheduled class day will be due before class. These due dates are mandatory. Written assignments turned in after class but on the due date will be subject to a 10% grade reduction. Late written assignments after the due date will be accepted </w:t>
            </w:r>
            <w:r>
              <w:rPr>
                <w:rFonts w:ascii="Arial" w:hAnsi="Arial" w:cs="Arial"/>
                <w:sz w:val="20"/>
              </w:rPr>
              <w:lastRenderedPageBreak/>
              <w:t xml:space="preserve">with a 15% grade reduction for each day it is late. Oral assignments will not be accepted late; late assignments will be given a zero. </w:t>
            </w:r>
            <w:r w:rsidRPr="00130F15">
              <w:rPr>
                <w:rFonts w:ascii="Arial" w:hAnsi="Arial" w:cs="Arial"/>
                <w:sz w:val="20"/>
              </w:rPr>
              <w:t xml:space="preserve">Students with </w:t>
            </w:r>
            <w:r>
              <w:rPr>
                <w:rFonts w:ascii="Arial" w:hAnsi="Arial" w:cs="Arial"/>
                <w:sz w:val="20"/>
              </w:rPr>
              <w:t xml:space="preserve">foreseen but unavoidable </w:t>
            </w:r>
            <w:r w:rsidRPr="00130F15">
              <w:rPr>
                <w:rFonts w:ascii="Arial" w:hAnsi="Arial" w:cs="Arial"/>
                <w:sz w:val="20"/>
              </w:rPr>
              <w:t xml:space="preserve">absences on days they are to present </w:t>
            </w:r>
            <w:r>
              <w:rPr>
                <w:rFonts w:ascii="Arial" w:hAnsi="Arial" w:cs="Arial"/>
                <w:sz w:val="20"/>
              </w:rPr>
              <w:t xml:space="preserve">an oral assignment </w:t>
            </w:r>
            <w:r w:rsidRPr="00130F15">
              <w:rPr>
                <w:rFonts w:ascii="Arial" w:hAnsi="Arial" w:cs="Arial"/>
                <w:sz w:val="20"/>
              </w:rPr>
              <w:t>in class must make arrangements to switch assignments with a different student</w:t>
            </w:r>
            <w:r>
              <w:rPr>
                <w:rFonts w:ascii="Arial" w:hAnsi="Arial" w:cs="Arial"/>
                <w:sz w:val="20"/>
              </w:rPr>
              <w:t xml:space="preserve"> prior to their scheduled presentation day.</w:t>
            </w:r>
          </w:p>
          <w:p w14:paraId="2A2E20F7" w14:textId="77777777" w:rsidR="001E1D90" w:rsidRDefault="001E1D90" w:rsidP="001E1D90">
            <w:pPr>
              <w:rPr>
                <w:rFonts w:ascii="Arial" w:hAnsi="Arial" w:cs="Arial"/>
                <w:sz w:val="20"/>
              </w:rPr>
            </w:pPr>
          </w:p>
          <w:p w14:paraId="46B36272" w14:textId="77777777" w:rsidR="001E1D90" w:rsidRDefault="001E1D90" w:rsidP="001E1D90">
            <w:pPr>
              <w:rPr>
                <w:rFonts w:ascii="Arial" w:hAnsi="Arial" w:cs="Arial"/>
                <w:sz w:val="20"/>
              </w:rPr>
            </w:pPr>
            <w:r>
              <w:rPr>
                <w:rFonts w:ascii="Arial" w:hAnsi="Arial" w:cs="Arial"/>
                <w:sz w:val="20"/>
              </w:rPr>
              <w:t xml:space="preserve">Assignments that are found to be academically dishonest will receive a 0%. This includes plagiarism, lying, tampering, and giving or receiving unauthorized assistance. For more information, see </w:t>
            </w:r>
            <w:hyperlink r:id="rId9" w:history="1">
              <w:r w:rsidRPr="006917BB">
                <w:rPr>
                  <w:rStyle w:val="Hyperlink"/>
                  <w:rFonts w:ascii="Arial" w:hAnsi="Arial" w:cs="Arial"/>
                  <w:sz w:val="20"/>
                </w:rPr>
                <w:t>https://honesty.uga.edu/</w:t>
              </w:r>
            </w:hyperlink>
            <w:r>
              <w:rPr>
                <w:rFonts w:ascii="Arial" w:hAnsi="Arial" w:cs="Arial"/>
                <w:sz w:val="20"/>
              </w:rPr>
              <w:t xml:space="preserve"> </w:t>
            </w:r>
          </w:p>
          <w:p w14:paraId="6AD48A86" w14:textId="77777777" w:rsidR="001E1D90" w:rsidRDefault="001E1D90" w:rsidP="001E1D90">
            <w:pPr>
              <w:rPr>
                <w:rFonts w:ascii="Arial" w:hAnsi="Arial" w:cs="Arial"/>
                <w:sz w:val="20"/>
              </w:rPr>
            </w:pPr>
          </w:p>
          <w:p w14:paraId="76D33215" w14:textId="77777777" w:rsidR="001E1D90" w:rsidRDefault="001E1D90" w:rsidP="001E1D90">
            <w:pPr>
              <w:rPr>
                <w:rFonts w:ascii="Arial" w:hAnsi="Arial" w:cs="Arial"/>
                <w:sz w:val="20"/>
              </w:rPr>
            </w:pPr>
            <w:r w:rsidRPr="001E0826">
              <w:rPr>
                <w:rFonts w:ascii="Arial" w:hAnsi="Arial" w:cs="Arial"/>
                <w:sz w:val="20"/>
              </w:rPr>
              <w:t xml:space="preserve">UGA Student Honor Code: "I will be academically honest in all of my academic work and will not tolerate academic dishonesty of others." A Culture of Honesty, the University's policy and procedures for handling cases of suspected dishonesty, can be found at </w:t>
            </w:r>
            <w:hyperlink r:id="rId10" w:history="1">
              <w:r w:rsidRPr="005374E2">
                <w:rPr>
                  <w:rStyle w:val="Hyperlink"/>
                  <w:rFonts w:ascii="Arial" w:hAnsi="Arial" w:cs="Arial"/>
                  <w:sz w:val="20"/>
                </w:rPr>
                <w:t>www.uga.edu/ovpi</w:t>
              </w:r>
            </w:hyperlink>
            <w:r>
              <w:rPr>
                <w:rFonts w:ascii="Arial" w:hAnsi="Arial" w:cs="Arial"/>
                <w:sz w:val="20"/>
              </w:rPr>
              <w:t xml:space="preserve"> </w:t>
            </w:r>
          </w:p>
          <w:p w14:paraId="1F355621" w14:textId="77777777" w:rsidR="001E1D90" w:rsidRDefault="001E1D90" w:rsidP="001E1D90">
            <w:pPr>
              <w:rPr>
                <w:rFonts w:ascii="Arial" w:hAnsi="Arial" w:cs="Arial"/>
                <w:sz w:val="20"/>
              </w:rPr>
            </w:pPr>
          </w:p>
          <w:p w14:paraId="5C35E543" w14:textId="77777777" w:rsidR="001E1D90" w:rsidRDefault="001E1D90" w:rsidP="001E1D90">
            <w:pPr>
              <w:rPr>
                <w:rFonts w:ascii="Arial" w:hAnsi="Arial" w:cs="Arial"/>
                <w:sz w:val="20"/>
              </w:rPr>
            </w:pPr>
            <w:r w:rsidRPr="00A23D52">
              <w:rPr>
                <w:rFonts w:ascii="Arial" w:hAnsi="Arial" w:cs="Arial"/>
                <w:b/>
                <w:sz w:val="20"/>
              </w:rPr>
              <w:t>Case Briefs and Presentations</w:t>
            </w:r>
            <w:r>
              <w:rPr>
                <w:rFonts w:ascii="Arial" w:hAnsi="Arial" w:cs="Arial"/>
                <w:sz w:val="20"/>
              </w:rPr>
              <w:t>: Students will be required to write case briefs on Supreme Court decisions examined in this class. Case briefs summarize the elements of a case, which are detailed at the end of the syllabus. The case brief is expected to summarize all elements of a case, not just those elements reproduced or summarized in the textbook or other reference material. Part of the course will involve students locating full Supreme Court decisions, including concurrences and dissents. At minimum, students must follow the professor’s format when creating a case brief. Case briefs should be of a professional quality.</w:t>
            </w:r>
          </w:p>
          <w:p w14:paraId="1AA91ACD" w14:textId="77777777" w:rsidR="001E1D90" w:rsidRDefault="001E1D90" w:rsidP="001E1D90">
            <w:pPr>
              <w:rPr>
                <w:rFonts w:ascii="Arial" w:hAnsi="Arial" w:cs="Arial"/>
                <w:sz w:val="20"/>
              </w:rPr>
            </w:pPr>
          </w:p>
          <w:p w14:paraId="6475EDAE" w14:textId="77777777" w:rsidR="001E1D90" w:rsidRDefault="001E1D90" w:rsidP="001E1D90">
            <w:pPr>
              <w:rPr>
                <w:rFonts w:ascii="Arial" w:hAnsi="Arial" w:cs="Arial"/>
                <w:sz w:val="20"/>
              </w:rPr>
            </w:pPr>
            <w:r>
              <w:rPr>
                <w:rFonts w:ascii="Arial" w:hAnsi="Arial" w:cs="Arial"/>
                <w:sz w:val="20"/>
              </w:rPr>
              <w:t>Students will also be required to present some of these cases to the class. The number of cases a student can expect to present is dependent upon class size but should expect to complete multiple case briefs. The instructor will assign students to both the case to be briefed and presented as well as the date both are due. Students may trade assignments with each other when both consent and both inform the professor with written communication.</w:t>
            </w:r>
          </w:p>
          <w:p w14:paraId="1B2C29CB" w14:textId="77777777" w:rsidR="001E1D90" w:rsidRDefault="001E1D90" w:rsidP="001E1D90">
            <w:pPr>
              <w:rPr>
                <w:rFonts w:ascii="Arial" w:hAnsi="Arial" w:cs="Arial"/>
                <w:sz w:val="20"/>
              </w:rPr>
            </w:pPr>
          </w:p>
          <w:p w14:paraId="084C14B6" w14:textId="77777777" w:rsidR="001E1D90" w:rsidRDefault="001E1D90" w:rsidP="001E1D90">
            <w:pPr>
              <w:rPr>
                <w:rFonts w:ascii="Arial" w:hAnsi="Arial" w:cs="Arial"/>
                <w:sz w:val="20"/>
              </w:rPr>
            </w:pPr>
            <w:r w:rsidRPr="00A23D52">
              <w:rPr>
                <w:rFonts w:ascii="Arial" w:hAnsi="Arial" w:cs="Arial"/>
                <w:b/>
                <w:sz w:val="20"/>
              </w:rPr>
              <w:t>Quizzes</w:t>
            </w:r>
            <w:r>
              <w:rPr>
                <w:rFonts w:ascii="Arial" w:hAnsi="Arial" w:cs="Arial"/>
                <w:sz w:val="20"/>
              </w:rPr>
              <w:t>: Quizzes will be administered weekly to ensure that students are engaged with the materials. They will ask about the cases that have been assigned in class, up to and including the cases to be discussed on the day of the quiz. Quizzes will cover material either from the textbook or the text of the case itself.</w:t>
            </w:r>
          </w:p>
          <w:p w14:paraId="69C333ED" w14:textId="77777777" w:rsidR="001E1D90" w:rsidRDefault="001E1D90" w:rsidP="001E1D90">
            <w:pPr>
              <w:rPr>
                <w:rFonts w:ascii="Arial" w:hAnsi="Arial" w:cs="Arial"/>
                <w:sz w:val="20"/>
              </w:rPr>
            </w:pPr>
          </w:p>
          <w:p w14:paraId="00ABF294" w14:textId="77777777" w:rsidR="001E1D90" w:rsidRDefault="001E1D90" w:rsidP="001E1D90">
            <w:pPr>
              <w:rPr>
                <w:rFonts w:ascii="Arial" w:hAnsi="Arial" w:cs="Arial"/>
                <w:sz w:val="20"/>
              </w:rPr>
            </w:pPr>
            <w:r>
              <w:rPr>
                <w:rFonts w:ascii="Arial" w:hAnsi="Arial" w:cs="Arial"/>
                <w:b/>
                <w:sz w:val="20"/>
              </w:rPr>
              <w:t>Participation</w:t>
            </w:r>
            <w:r>
              <w:rPr>
                <w:rFonts w:ascii="Arial" w:hAnsi="Arial" w:cs="Arial"/>
                <w:sz w:val="20"/>
              </w:rPr>
              <w:t xml:space="preserve">: Students may occasionally be given assignments that are outside the scope of the above required assignments. These assignments will fall under a student’s participation grade. </w:t>
            </w:r>
            <w:r w:rsidRPr="005C2A7A">
              <w:rPr>
                <w:rFonts w:ascii="Arial" w:hAnsi="Arial" w:cs="Arial"/>
                <w:sz w:val="20"/>
              </w:rPr>
              <w:t xml:space="preserve">Students who display persistent behavior issues </w:t>
            </w:r>
            <w:r>
              <w:rPr>
                <w:rFonts w:ascii="Arial" w:hAnsi="Arial" w:cs="Arial"/>
                <w:sz w:val="20"/>
              </w:rPr>
              <w:t>during class</w:t>
            </w:r>
            <w:r w:rsidRPr="005C2A7A">
              <w:rPr>
                <w:rFonts w:ascii="Arial" w:hAnsi="Arial" w:cs="Arial"/>
                <w:sz w:val="20"/>
              </w:rPr>
              <w:t xml:space="preserve"> will also be docked on their participation grade.</w:t>
            </w:r>
          </w:p>
          <w:p w14:paraId="686B3473" w14:textId="25B2D044" w:rsidR="00A23D52" w:rsidRPr="00A23D52" w:rsidRDefault="00A23D52" w:rsidP="00B9408D">
            <w:pPr>
              <w:rPr>
                <w:rFonts w:ascii="Arial" w:hAnsi="Arial" w:cs="Arial"/>
                <w:sz w:val="20"/>
              </w:rPr>
            </w:pPr>
          </w:p>
        </w:tc>
      </w:tr>
      <w:tr w:rsidR="00884395" w:rsidRPr="00C2322F" w14:paraId="1BBB2208" w14:textId="77777777" w:rsidTr="00D76428">
        <w:tc>
          <w:tcPr>
            <w:tcW w:w="10340" w:type="dxa"/>
            <w:gridSpan w:val="4"/>
            <w:shd w:val="clear" w:color="auto" w:fill="auto"/>
          </w:tcPr>
          <w:p w14:paraId="5DA84710" w14:textId="77777777" w:rsidR="00884395" w:rsidRPr="00C2322F" w:rsidRDefault="00884395" w:rsidP="00884395">
            <w:pPr>
              <w:jc w:val="center"/>
              <w:rPr>
                <w:rFonts w:ascii="Arial" w:hAnsi="Arial" w:cs="Arial"/>
                <w:sz w:val="20"/>
              </w:rPr>
            </w:pPr>
            <w:r w:rsidRPr="00C2322F">
              <w:rPr>
                <w:rFonts w:ascii="Arial" w:hAnsi="Arial" w:cs="Arial"/>
                <w:b/>
                <w:sz w:val="20"/>
              </w:rPr>
              <w:lastRenderedPageBreak/>
              <w:t xml:space="preserve">Grading </w:t>
            </w:r>
            <w:r>
              <w:rPr>
                <w:rFonts w:ascii="Arial" w:hAnsi="Arial" w:cs="Arial"/>
                <w:b/>
                <w:sz w:val="20"/>
              </w:rPr>
              <w:t>Scale</w:t>
            </w:r>
          </w:p>
        </w:tc>
      </w:tr>
      <w:tr w:rsidR="00884395" w:rsidRPr="00C2322F" w14:paraId="7B1842F2" w14:textId="77777777" w:rsidTr="00D76428">
        <w:tc>
          <w:tcPr>
            <w:tcW w:w="10340" w:type="dxa"/>
            <w:gridSpan w:val="4"/>
            <w:shd w:val="clear" w:color="auto" w:fill="auto"/>
          </w:tcPr>
          <w:tbl>
            <w:tblPr>
              <w:tblStyle w:val="TableGrid"/>
              <w:tblW w:w="10114" w:type="dxa"/>
              <w:tblInd w:w="360" w:type="dxa"/>
              <w:tblLayout w:type="fixed"/>
              <w:tblLook w:val="04A0" w:firstRow="1" w:lastRow="0" w:firstColumn="1" w:lastColumn="0" w:noHBand="0" w:noVBand="1"/>
            </w:tblPr>
            <w:tblGrid>
              <w:gridCol w:w="2022"/>
              <w:gridCol w:w="2023"/>
              <w:gridCol w:w="2023"/>
              <w:gridCol w:w="2023"/>
              <w:gridCol w:w="2023"/>
            </w:tblGrid>
            <w:tr w:rsidR="001E1D90" w14:paraId="19B5CD50" w14:textId="77777777" w:rsidTr="00844674">
              <w:tc>
                <w:tcPr>
                  <w:tcW w:w="2022" w:type="dxa"/>
                  <w:tcBorders>
                    <w:top w:val="nil"/>
                    <w:left w:val="nil"/>
                    <w:bottom w:val="nil"/>
                    <w:right w:val="nil"/>
                  </w:tcBorders>
                </w:tcPr>
                <w:p w14:paraId="115CE334" w14:textId="77777777" w:rsidR="001E1D90" w:rsidRDefault="001E1D90" w:rsidP="001E1D90">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33850EB1" w14:textId="77777777" w:rsidR="001E1D90" w:rsidRDefault="001E1D90" w:rsidP="001E1D90">
                  <w:pPr>
                    <w:jc w:val="both"/>
                    <w:rPr>
                      <w:rFonts w:ascii="Arial" w:hAnsi="Arial" w:cs="Arial"/>
                      <w:sz w:val="20"/>
                      <w:szCs w:val="22"/>
                    </w:rPr>
                  </w:pPr>
                  <w:r>
                    <w:rPr>
                      <w:rFonts w:ascii="Arial" w:hAnsi="Arial" w:cs="Arial"/>
                      <w:sz w:val="20"/>
                      <w:szCs w:val="22"/>
                    </w:rPr>
                    <w:t>93-100</w:t>
                  </w:r>
                </w:p>
              </w:tc>
              <w:tc>
                <w:tcPr>
                  <w:tcW w:w="2023" w:type="dxa"/>
                  <w:tcBorders>
                    <w:top w:val="nil"/>
                    <w:left w:val="nil"/>
                    <w:bottom w:val="nil"/>
                    <w:right w:val="nil"/>
                  </w:tcBorders>
                </w:tcPr>
                <w:p w14:paraId="12917D1C"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727968B8"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36B35AF9" w14:textId="77777777" w:rsidR="001E1D90" w:rsidRDefault="001E1D90" w:rsidP="001E1D90">
                  <w:pPr>
                    <w:jc w:val="both"/>
                    <w:rPr>
                      <w:rFonts w:ascii="Arial" w:hAnsi="Arial" w:cs="Arial"/>
                      <w:sz w:val="20"/>
                      <w:szCs w:val="22"/>
                    </w:rPr>
                  </w:pPr>
                  <w:r>
                    <w:rPr>
                      <w:rFonts w:ascii="Arial" w:hAnsi="Arial" w:cs="Arial"/>
                      <w:sz w:val="20"/>
                      <w:szCs w:val="22"/>
                    </w:rPr>
                    <w:t>77-80</w:t>
                  </w:r>
                </w:p>
              </w:tc>
            </w:tr>
            <w:tr w:rsidR="001E1D90" w14:paraId="3E6EC6D1" w14:textId="77777777" w:rsidTr="00844674">
              <w:tc>
                <w:tcPr>
                  <w:tcW w:w="2022" w:type="dxa"/>
                  <w:tcBorders>
                    <w:top w:val="nil"/>
                    <w:left w:val="nil"/>
                    <w:bottom w:val="nil"/>
                    <w:right w:val="nil"/>
                  </w:tcBorders>
                </w:tcPr>
                <w:p w14:paraId="6E923B25" w14:textId="77777777" w:rsidR="001E1D90" w:rsidRDefault="001E1D90" w:rsidP="001E1D90">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7AF3E669" w14:textId="77777777" w:rsidR="001E1D90" w:rsidRDefault="001E1D90" w:rsidP="001E1D90">
                  <w:pPr>
                    <w:jc w:val="both"/>
                    <w:rPr>
                      <w:rFonts w:ascii="Arial" w:hAnsi="Arial" w:cs="Arial"/>
                      <w:sz w:val="20"/>
                      <w:szCs w:val="22"/>
                    </w:rPr>
                  </w:pPr>
                  <w:r>
                    <w:rPr>
                      <w:rFonts w:ascii="Arial" w:hAnsi="Arial" w:cs="Arial"/>
                      <w:sz w:val="20"/>
                      <w:szCs w:val="22"/>
                    </w:rPr>
                    <w:t>90-92</w:t>
                  </w:r>
                </w:p>
              </w:tc>
              <w:tc>
                <w:tcPr>
                  <w:tcW w:w="2023" w:type="dxa"/>
                  <w:tcBorders>
                    <w:top w:val="nil"/>
                    <w:left w:val="nil"/>
                    <w:bottom w:val="nil"/>
                    <w:right w:val="nil"/>
                  </w:tcBorders>
                </w:tcPr>
                <w:p w14:paraId="79DB409A"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6B4A5AE4"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1E8DBBEA" w14:textId="77777777" w:rsidR="001E1D90" w:rsidRDefault="001E1D90" w:rsidP="001E1D90">
                  <w:pPr>
                    <w:jc w:val="both"/>
                    <w:rPr>
                      <w:rFonts w:ascii="Arial" w:hAnsi="Arial" w:cs="Arial"/>
                      <w:sz w:val="20"/>
                      <w:szCs w:val="22"/>
                    </w:rPr>
                  </w:pPr>
                  <w:r>
                    <w:rPr>
                      <w:rFonts w:ascii="Arial" w:hAnsi="Arial" w:cs="Arial"/>
                      <w:sz w:val="20"/>
                      <w:szCs w:val="22"/>
                    </w:rPr>
                    <w:t>73-77</w:t>
                  </w:r>
                </w:p>
              </w:tc>
            </w:tr>
            <w:tr w:rsidR="001E1D90" w14:paraId="50CCF734" w14:textId="77777777" w:rsidTr="00844674">
              <w:tc>
                <w:tcPr>
                  <w:tcW w:w="2022" w:type="dxa"/>
                  <w:tcBorders>
                    <w:top w:val="nil"/>
                    <w:left w:val="nil"/>
                    <w:bottom w:val="nil"/>
                    <w:right w:val="nil"/>
                  </w:tcBorders>
                </w:tcPr>
                <w:p w14:paraId="3ACE0C5A"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0DBCBD07" w14:textId="77777777" w:rsidR="001E1D90" w:rsidRDefault="001E1D90" w:rsidP="001E1D90">
                  <w:pPr>
                    <w:jc w:val="both"/>
                    <w:rPr>
                      <w:rFonts w:ascii="Arial" w:hAnsi="Arial" w:cs="Arial"/>
                      <w:sz w:val="20"/>
                      <w:szCs w:val="22"/>
                    </w:rPr>
                  </w:pPr>
                  <w:r>
                    <w:rPr>
                      <w:rFonts w:ascii="Arial" w:hAnsi="Arial" w:cs="Arial"/>
                      <w:sz w:val="20"/>
                      <w:szCs w:val="22"/>
                    </w:rPr>
                    <w:t>87-90</w:t>
                  </w:r>
                </w:p>
              </w:tc>
              <w:tc>
                <w:tcPr>
                  <w:tcW w:w="2023" w:type="dxa"/>
                  <w:tcBorders>
                    <w:top w:val="nil"/>
                    <w:left w:val="nil"/>
                    <w:bottom w:val="nil"/>
                    <w:right w:val="nil"/>
                  </w:tcBorders>
                </w:tcPr>
                <w:p w14:paraId="1CAC7157"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1E84C823"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66FE9CA9" w14:textId="77777777" w:rsidR="001E1D90" w:rsidRDefault="001E1D90" w:rsidP="001E1D90">
                  <w:pPr>
                    <w:jc w:val="both"/>
                    <w:rPr>
                      <w:rFonts w:ascii="Arial" w:hAnsi="Arial" w:cs="Arial"/>
                      <w:sz w:val="20"/>
                      <w:szCs w:val="22"/>
                    </w:rPr>
                  </w:pPr>
                  <w:r>
                    <w:rPr>
                      <w:rFonts w:ascii="Arial" w:hAnsi="Arial" w:cs="Arial"/>
                      <w:sz w:val="20"/>
                      <w:szCs w:val="22"/>
                    </w:rPr>
                    <w:t>70-73</w:t>
                  </w:r>
                </w:p>
              </w:tc>
            </w:tr>
            <w:tr w:rsidR="001E1D90" w14:paraId="7CF01CC1" w14:textId="77777777" w:rsidTr="00844674">
              <w:tc>
                <w:tcPr>
                  <w:tcW w:w="2022" w:type="dxa"/>
                  <w:tcBorders>
                    <w:top w:val="nil"/>
                    <w:left w:val="nil"/>
                    <w:bottom w:val="nil"/>
                    <w:right w:val="nil"/>
                  </w:tcBorders>
                </w:tcPr>
                <w:p w14:paraId="623470BD"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10D5DD40" w14:textId="77777777" w:rsidR="001E1D90" w:rsidRDefault="001E1D90" w:rsidP="001E1D90">
                  <w:pPr>
                    <w:jc w:val="both"/>
                    <w:rPr>
                      <w:rFonts w:ascii="Arial" w:hAnsi="Arial" w:cs="Arial"/>
                      <w:sz w:val="20"/>
                      <w:szCs w:val="22"/>
                    </w:rPr>
                  </w:pPr>
                  <w:r>
                    <w:rPr>
                      <w:rFonts w:ascii="Arial" w:hAnsi="Arial" w:cs="Arial"/>
                      <w:sz w:val="20"/>
                      <w:szCs w:val="22"/>
                    </w:rPr>
                    <w:t>83-87</w:t>
                  </w:r>
                </w:p>
              </w:tc>
              <w:tc>
                <w:tcPr>
                  <w:tcW w:w="2023" w:type="dxa"/>
                  <w:tcBorders>
                    <w:top w:val="nil"/>
                    <w:left w:val="nil"/>
                    <w:bottom w:val="nil"/>
                    <w:right w:val="nil"/>
                  </w:tcBorders>
                </w:tcPr>
                <w:p w14:paraId="7795AAE0"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43C95048" w14:textId="77777777" w:rsidR="001E1D90" w:rsidRDefault="001E1D90" w:rsidP="001E1D90">
                  <w:pPr>
                    <w:jc w:val="both"/>
                    <w:rPr>
                      <w:rFonts w:ascii="Arial" w:hAnsi="Arial" w:cs="Arial"/>
                      <w:sz w:val="20"/>
                      <w:szCs w:val="22"/>
                    </w:rPr>
                  </w:pPr>
                  <w:r>
                    <w:rPr>
                      <w:rFonts w:ascii="Arial" w:hAnsi="Arial" w:cs="Arial"/>
                      <w:sz w:val="20"/>
                      <w:szCs w:val="22"/>
                    </w:rPr>
                    <w:t>D</w:t>
                  </w:r>
                </w:p>
              </w:tc>
              <w:tc>
                <w:tcPr>
                  <w:tcW w:w="2023" w:type="dxa"/>
                  <w:tcBorders>
                    <w:top w:val="nil"/>
                    <w:left w:val="nil"/>
                    <w:bottom w:val="nil"/>
                  </w:tcBorders>
                </w:tcPr>
                <w:p w14:paraId="1D19AC35" w14:textId="77777777" w:rsidR="001E1D90" w:rsidRDefault="001E1D90" w:rsidP="001E1D90">
                  <w:pPr>
                    <w:jc w:val="both"/>
                    <w:rPr>
                      <w:rFonts w:ascii="Arial" w:hAnsi="Arial" w:cs="Arial"/>
                      <w:sz w:val="20"/>
                      <w:szCs w:val="22"/>
                    </w:rPr>
                  </w:pPr>
                  <w:r w:rsidRPr="00632965">
                    <w:rPr>
                      <w:rFonts w:ascii="Arial" w:hAnsi="Arial" w:cs="Arial"/>
                      <w:sz w:val="20"/>
                      <w:szCs w:val="22"/>
                    </w:rPr>
                    <w:t>60-</w:t>
                  </w:r>
                  <w:r>
                    <w:rPr>
                      <w:rFonts w:ascii="Arial" w:hAnsi="Arial" w:cs="Arial"/>
                      <w:sz w:val="20"/>
                      <w:szCs w:val="22"/>
                    </w:rPr>
                    <w:t>70</w:t>
                  </w:r>
                </w:p>
              </w:tc>
            </w:tr>
            <w:tr w:rsidR="001E1D90" w14:paraId="0A5D1990" w14:textId="77777777" w:rsidTr="00844674">
              <w:tc>
                <w:tcPr>
                  <w:tcW w:w="2022" w:type="dxa"/>
                  <w:tcBorders>
                    <w:top w:val="nil"/>
                    <w:left w:val="nil"/>
                    <w:bottom w:val="nil"/>
                    <w:right w:val="nil"/>
                  </w:tcBorders>
                </w:tcPr>
                <w:p w14:paraId="228C1E76"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74796291" w14:textId="77777777" w:rsidR="001E1D90" w:rsidRDefault="001E1D90" w:rsidP="001E1D90">
                  <w:pPr>
                    <w:jc w:val="both"/>
                    <w:rPr>
                      <w:rFonts w:ascii="Arial" w:hAnsi="Arial" w:cs="Arial"/>
                      <w:sz w:val="20"/>
                      <w:szCs w:val="22"/>
                    </w:rPr>
                  </w:pPr>
                  <w:r>
                    <w:rPr>
                      <w:rFonts w:ascii="Arial" w:hAnsi="Arial" w:cs="Arial"/>
                      <w:sz w:val="20"/>
                      <w:szCs w:val="22"/>
                    </w:rPr>
                    <w:t>80-83</w:t>
                  </w:r>
                </w:p>
              </w:tc>
              <w:tc>
                <w:tcPr>
                  <w:tcW w:w="2023" w:type="dxa"/>
                  <w:tcBorders>
                    <w:top w:val="nil"/>
                    <w:left w:val="nil"/>
                    <w:bottom w:val="nil"/>
                    <w:right w:val="nil"/>
                  </w:tcBorders>
                </w:tcPr>
                <w:p w14:paraId="6FC73C60"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496417B3" w14:textId="77777777" w:rsidR="001E1D90" w:rsidRDefault="001E1D90" w:rsidP="001E1D90">
                  <w:pPr>
                    <w:jc w:val="both"/>
                    <w:rPr>
                      <w:rFonts w:ascii="Arial" w:hAnsi="Arial" w:cs="Arial"/>
                      <w:sz w:val="20"/>
                      <w:szCs w:val="22"/>
                    </w:rPr>
                  </w:pPr>
                  <w:r>
                    <w:rPr>
                      <w:rFonts w:ascii="Arial" w:hAnsi="Arial" w:cs="Arial"/>
                      <w:sz w:val="20"/>
                      <w:szCs w:val="22"/>
                    </w:rPr>
                    <w:t>F</w:t>
                  </w:r>
                </w:p>
              </w:tc>
              <w:tc>
                <w:tcPr>
                  <w:tcW w:w="2023" w:type="dxa"/>
                  <w:tcBorders>
                    <w:top w:val="nil"/>
                    <w:left w:val="nil"/>
                    <w:bottom w:val="nil"/>
                  </w:tcBorders>
                </w:tcPr>
                <w:p w14:paraId="1FEE0C5D" w14:textId="77777777" w:rsidR="001E1D90" w:rsidRDefault="001E1D90" w:rsidP="001E1D90">
                  <w:pPr>
                    <w:jc w:val="both"/>
                    <w:rPr>
                      <w:rFonts w:ascii="Arial" w:hAnsi="Arial" w:cs="Arial"/>
                      <w:sz w:val="20"/>
                      <w:szCs w:val="22"/>
                    </w:rPr>
                  </w:pPr>
                  <w:r w:rsidRPr="00632965">
                    <w:rPr>
                      <w:rFonts w:ascii="Arial" w:hAnsi="Arial" w:cs="Arial"/>
                      <w:sz w:val="20"/>
                      <w:szCs w:val="22"/>
                    </w:rPr>
                    <w:t>&lt;60</w:t>
                  </w:r>
                </w:p>
              </w:tc>
            </w:tr>
          </w:tbl>
          <w:p w14:paraId="34C16A50" w14:textId="42B41380" w:rsidR="00884395" w:rsidRPr="00632965" w:rsidRDefault="00884395" w:rsidP="001E1D90">
            <w:pPr>
              <w:jc w:val="both"/>
              <w:rPr>
                <w:rFonts w:ascii="Garamond" w:hAnsi="Garamond"/>
                <w:sz w:val="22"/>
                <w:szCs w:val="22"/>
              </w:rPr>
            </w:pPr>
          </w:p>
        </w:tc>
      </w:tr>
      <w:tr w:rsidR="00884395" w:rsidRPr="00C2322F" w14:paraId="1656B35C" w14:textId="77777777" w:rsidTr="00D76428">
        <w:tc>
          <w:tcPr>
            <w:tcW w:w="10340" w:type="dxa"/>
            <w:gridSpan w:val="4"/>
            <w:shd w:val="clear" w:color="auto" w:fill="auto"/>
          </w:tcPr>
          <w:p w14:paraId="6CCD2D7B" w14:textId="77777777" w:rsidR="00884395" w:rsidRPr="00C2322F" w:rsidRDefault="00884395" w:rsidP="00884395">
            <w:pPr>
              <w:jc w:val="center"/>
              <w:rPr>
                <w:rFonts w:ascii="Arial" w:hAnsi="Arial" w:cs="Arial"/>
                <w:b/>
                <w:sz w:val="20"/>
              </w:rPr>
            </w:pPr>
          </w:p>
        </w:tc>
      </w:tr>
      <w:tr w:rsidR="00884395" w:rsidRPr="00C2322F" w14:paraId="7B8C9EEE" w14:textId="77777777" w:rsidTr="00D76428">
        <w:tc>
          <w:tcPr>
            <w:tcW w:w="10340" w:type="dxa"/>
            <w:gridSpan w:val="4"/>
            <w:shd w:val="clear" w:color="auto" w:fill="auto"/>
          </w:tcPr>
          <w:p w14:paraId="172B84A6" w14:textId="77777777" w:rsidR="00884395" w:rsidRPr="00C2322F" w:rsidRDefault="00884395" w:rsidP="00012A9E">
            <w:pPr>
              <w:jc w:val="center"/>
              <w:rPr>
                <w:rFonts w:ascii="Arial" w:hAnsi="Arial" w:cs="Arial"/>
                <w:i/>
                <w:sz w:val="18"/>
              </w:rPr>
            </w:pPr>
            <w:r w:rsidRPr="00C2322F">
              <w:rPr>
                <w:rFonts w:ascii="Arial" w:hAnsi="Arial" w:cs="Arial"/>
                <w:b/>
                <w:sz w:val="20"/>
              </w:rPr>
              <w:t xml:space="preserve">Major </w:t>
            </w:r>
            <w:r w:rsidR="00012A9E">
              <w:rPr>
                <w:rFonts w:ascii="Arial" w:hAnsi="Arial" w:cs="Arial"/>
                <w:b/>
                <w:sz w:val="20"/>
              </w:rPr>
              <w:t>Class</w:t>
            </w:r>
            <w:r w:rsidRPr="00C2322F">
              <w:rPr>
                <w:rFonts w:ascii="Arial" w:hAnsi="Arial" w:cs="Arial"/>
                <w:b/>
                <w:sz w:val="20"/>
              </w:rPr>
              <w:t xml:space="preserve"> Dates</w:t>
            </w:r>
          </w:p>
        </w:tc>
      </w:tr>
      <w:tr w:rsidR="00884395" w:rsidRPr="00C2322F" w14:paraId="689FA131" w14:textId="77777777" w:rsidTr="00D76428">
        <w:tc>
          <w:tcPr>
            <w:tcW w:w="10340" w:type="dxa"/>
            <w:gridSpan w:val="4"/>
            <w:shd w:val="clear" w:color="auto" w:fill="auto"/>
          </w:tcPr>
          <w:p w14:paraId="5CBA0D5D" w14:textId="77777777" w:rsidR="00884395" w:rsidRPr="00C2322F" w:rsidRDefault="00884395" w:rsidP="00884395">
            <w:pPr>
              <w:rPr>
                <w:rFonts w:ascii="Arial" w:hAnsi="Arial" w:cs="Arial"/>
                <w:sz w:val="10"/>
                <w:szCs w:val="10"/>
              </w:rPr>
            </w:pPr>
          </w:p>
        </w:tc>
      </w:tr>
      <w:tr w:rsidR="00884395" w:rsidRPr="00C2322F" w14:paraId="28B00509" w14:textId="77777777" w:rsidTr="00D76428">
        <w:tc>
          <w:tcPr>
            <w:tcW w:w="10340" w:type="dxa"/>
            <w:gridSpan w:val="4"/>
            <w:shd w:val="clear" w:color="auto" w:fill="auto"/>
          </w:tcPr>
          <w:p w14:paraId="250AFE45" w14:textId="77777777" w:rsidR="00B6702E" w:rsidRPr="00B6702E" w:rsidRDefault="00B6702E" w:rsidP="00B6702E">
            <w:pPr>
              <w:rPr>
                <w:rFonts w:ascii="Arial" w:hAnsi="Arial" w:cs="Arial"/>
                <w:sz w:val="20"/>
                <w:szCs w:val="20"/>
              </w:rPr>
            </w:pPr>
            <w:r w:rsidRPr="00B6702E">
              <w:rPr>
                <w:rFonts w:ascii="Arial" w:hAnsi="Arial" w:cs="Arial"/>
                <w:sz w:val="20"/>
                <w:szCs w:val="20"/>
              </w:rPr>
              <w:t>Monday, January 10: Classes begin</w:t>
            </w:r>
          </w:p>
          <w:p w14:paraId="31C95171" w14:textId="77777777" w:rsidR="00B6702E" w:rsidRPr="00B6702E" w:rsidRDefault="00B6702E" w:rsidP="00B6702E">
            <w:pPr>
              <w:rPr>
                <w:rFonts w:ascii="Arial" w:hAnsi="Arial" w:cs="Arial"/>
                <w:sz w:val="20"/>
                <w:szCs w:val="20"/>
              </w:rPr>
            </w:pPr>
            <w:r w:rsidRPr="00B6702E">
              <w:rPr>
                <w:rFonts w:ascii="Arial" w:hAnsi="Arial" w:cs="Arial"/>
                <w:sz w:val="20"/>
                <w:szCs w:val="20"/>
              </w:rPr>
              <w:t>Monday-Friday, January 10-14: Add/Drop Period</w:t>
            </w:r>
          </w:p>
          <w:p w14:paraId="1346349E" w14:textId="77777777" w:rsidR="00B6702E" w:rsidRPr="00B6702E" w:rsidRDefault="00B6702E" w:rsidP="00B6702E">
            <w:pPr>
              <w:rPr>
                <w:rFonts w:ascii="Arial" w:hAnsi="Arial" w:cs="Arial"/>
                <w:sz w:val="20"/>
                <w:szCs w:val="20"/>
              </w:rPr>
            </w:pPr>
            <w:r w:rsidRPr="00B6702E">
              <w:rPr>
                <w:rFonts w:ascii="Arial" w:hAnsi="Arial" w:cs="Arial"/>
                <w:sz w:val="20"/>
                <w:szCs w:val="20"/>
              </w:rPr>
              <w:t>Monday, January 17: MLK Jr. Day</w:t>
            </w:r>
          </w:p>
          <w:p w14:paraId="075D5FB4" w14:textId="77777777" w:rsidR="00B6702E" w:rsidRPr="00B6702E" w:rsidRDefault="00B6702E" w:rsidP="00B6702E">
            <w:pPr>
              <w:rPr>
                <w:rFonts w:ascii="Arial" w:hAnsi="Arial" w:cs="Arial"/>
                <w:sz w:val="20"/>
                <w:szCs w:val="20"/>
              </w:rPr>
            </w:pPr>
            <w:r w:rsidRPr="00B6702E">
              <w:rPr>
                <w:rFonts w:ascii="Arial" w:hAnsi="Arial" w:cs="Arial"/>
                <w:sz w:val="20"/>
                <w:szCs w:val="20"/>
              </w:rPr>
              <w:t>March 7-11: Spring Break</w:t>
            </w:r>
          </w:p>
          <w:p w14:paraId="242D28C0" w14:textId="77777777" w:rsidR="00B6702E" w:rsidRPr="00B6702E" w:rsidRDefault="00B6702E" w:rsidP="00B6702E">
            <w:pPr>
              <w:rPr>
                <w:rFonts w:ascii="Arial" w:hAnsi="Arial" w:cs="Arial"/>
                <w:sz w:val="20"/>
                <w:szCs w:val="20"/>
              </w:rPr>
            </w:pPr>
            <w:r w:rsidRPr="00B6702E">
              <w:rPr>
                <w:rFonts w:ascii="Arial" w:hAnsi="Arial" w:cs="Arial"/>
                <w:sz w:val="20"/>
                <w:szCs w:val="20"/>
              </w:rPr>
              <w:t>Thursday, March 24: Withdrawal Deadline</w:t>
            </w:r>
          </w:p>
          <w:p w14:paraId="6C7391DF" w14:textId="1D8E87D8" w:rsidR="00884395" w:rsidRPr="00C2322F" w:rsidRDefault="00B6702E" w:rsidP="00B6702E">
            <w:pPr>
              <w:rPr>
                <w:rFonts w:ascii="Arial" w:hAnsi="Arial" w:cs="Arial"/>
                <w:sz w:val="20"/>
                <w:szCs w:val="20"/>
              </w:rPr>
            </w:pPr>
            <w:r>
              <w:rPr>
                <w:rFonts w:ascii="Arial" w:hAnsi="Arial" w:cs="Arial"/>
                <w:sz w:val="20"/>
                <w:szCs w:val="20"/>
              </w:rPr>
              <w:t>Monday</w:t>
            </w:r>
            <w:r w:rsidRPr="00B6702E">
              <w:rPr>
                <w:rFonts w:ascii="Arial" w:hAnsi="Arial" w:cs="Arial"/>
                <w:sz w:val="20"/>
                <w:szCs w:val="20"/>
              </w:rPr>
              <w:t xml:space="preserve">, May </w:t>
            </w:r>
            <w:r>
              <w:rPr>
                <w:rFonts w:ascii="Arial" w:hAnsi="Arial" w:cs="Arial"/>
                <w:sz w:val="20"/>
                <w:szCs w:val="20"/>
              </w:rPr>
              <w:t>9, noon</w:t>
            </w:r>
            <w:r w:rsidRPr="00B6702E">
              <w:rPr>
                <w:rFonts w:ascii="Arial" w:hAnsi="Arial" w:cs="Arial"/>
                <w:sz w:val="20"/>
                <w:szCs w:val="20"/>
              </w:rPr>
              <w:t>: Final Exam</w:t>
            </w:r>
          </w:p>
        </w:tc>
      </w:tr>
      <w:tr w:rsidR="00884395" w:rsidRPr="00C2322F" w14:paraId="279A26EC" w14:textId="77777777" w:rsidTr="00D76428">
        <w:tc>
          <w:tcPr>
            <w:tcW w:w="10340" w:type="dxa"/>
            <w:gridSpan w:val="4"/>
            <w:shd w:val="clear" w:color="auto" w:fill="auto"/>
          </w:tcPr>
          <w:p w14:paraId="03BDE8D7" w14:textId="77777777" w:rsidR="00884395" w:rsidRPr="00C2322F" w:rsidRDefault="00884395" w:rsidP="00884395">
            <w:pPr>
              <w:rPr>
                <w:rFonts w:ascii="Arial" w:hAnsi="Arial" w:cs="Arial"/>
                <w:sz w:val="20"/>
              </w:rPr>
            </w:pPr>
          </w:p>
        </w:tc>
      </w:tr>
      <w:tr w:rsidR="00690F89" w:rsidRPr="00C2322F" w14:paraId="5EAB2657" w14:textId="77777777" w:rsidTr="00D76428">
        <w:tc>
          <w:tcPr>
            <w:tcW w:w="10340" w:type="dxa"/>
            <w:gridSpan w:val="4"/>
            <w:shd w:val="clear" w:color="auto" w:fill="auto"/>
          </w:tcPr>
          <w:p w14:paraId="5FD3E2A8" w14:textId="175A4CCB" w:rsidR="00690F89" w:rsidRPr="00C2322F" w:rsidRDefault="00690F89" w:rsidP="00690F89">
            <w:pPr>
              <w:jc w:val="center"/>
              <w:rPr>
                <w:rFonts w:ascii="Arial" w:hAnsi="Arial" w:cs="Arial"/>
                <w:b/>
                <w:sz w:val="20"/>
              </w:rPr>
            </w:pPr>
            <w:r>
              <w:rPr>
                <w:rFonts w:ascii="Arial" w:hAnsi="Arial" w:cs="Arial"/>
                <w:b/>
                <w:sz w:val="20"/>
              </w:rPr>
              <w:t>COVID-19 Information</w:t>
            </w:r>
          </w:p>
        </w:tc>
      </w:tr>
      <w:tr w:rsidR="00690F89" w:rsidRPr="00C2322F" w14:paraId="54EB30FB" w14:textId="77777777" w:rsidTr="00D76428">
        <w:trPr>
          <w:trHeight w:val="89"/>
        </w:trPr>
        <w:tc>
          <w:tcPr>
            <w:tcW w:w="10340" w:type="dxa"/>
            <w:gridSpan w:val="4"/>
            <w:shd w:val="clear" w:color="auto" w:fill="auto"/>
          </w:tcPr>
          <w:p w14:paraId="407DC9AF" w14:textId="77777777" w:rsidR="008A088B" w:rsidRPr="008A088B" w:rsidRDefault="008A088B" w:rsidP="008A088B">
            <w:pPr>
              <w:rPr>
                <w:rFonts w:ascii="Arial" w:hAnsi="Arial" w:cs="Arial"/>
                <w:b/>
                <w:bCs/>
                <w:sz w:val="20"/>
              </w:rPr>
            </w:pPr>
            <w:r w:rsidRPr="008A088B">
              <w:rPr>
                <w:rFonts w:ascii="Arial" w:hAnsi="Arial" w:cs="Arial"/>
                <w:b/>
                <w:bCs/>
                <w:sz w:val="20"/>
              </w:rPr>
              <w:t xml:space="preserve">UGA adheres to guidance from the University System of Georgia and the recommendations from Georgia Department of Public Health (DPH) related to quarantine and isolation. Since this may be updated periodically, we encourage you to review the latest guidance </w:t>
            </w:r>
            <w:hyperlink r:id="rId11" w:history="1">
              <w:r w:rsidRPr="008A088B">
                <w:rPr>
                  <w:rStyle w:val="Hyperlink"/>
                  <w:rFonts w:ascii="Arial" w:hAnsi="Arial" w:cs="Arial"/>
                  <w:b/>
                  <w:bCs/>
                  <w:sz w:val="20"/>
                </w:rPr>
                <w:t>here</w:t>
              </w:r>
            </w:hyperlink>
            <w:r w:rsidRPr="008A088B">
              <w:rPr>
                <w:rFonts w:ascii="Arial" w:hAnsi="Arial" w:cs="Arial"/>
                <w:b/>
                <w:bCs/>
                <w:sz w:val="20"/>
              </w:rPr>
              <w:t xml:space="preserve">. The following information is based on guidance last updated on December 29, 2021. </w:t>
            </w:r>
          </w:p>
          <w:p w14:paraId="34AF0C33" w14:textId="77777777" w:rsidR="008A088B" w:rsidRPr="008A088B" w:rsidRDefault="008A088B" w:rsidP="008A088B">
            <w:pPr>
              <w:rPr>
                <w:rFonts w:ascii="Arial" w:hAnsi="Arial" w:cs="Arial"/>
                <w:b/>
                <w:bCs/>
                <w:sz w:val="20"/>
              </w:rPr>
            </w:pPr>
            <w:r w:rsidRPr="008A088B">
              <w:rPr>
                <w:rFonts w:ascii="Arial" w:hAnsi="Arial" w:cs="Arial"/>
                <w:b/>
                <w:bCs/>
                <w:sz w:val="20"/>
              </w:rPr>
              <w:t xml:space="preserve"> </w:t>
            </w:r>
          </w:p>
          <w:p w14:paraId="3A73E143" w14:textId="77777777" w:rsidR="008A088B" w:rsidRPr="008A088B" w:rsidRDefault="008A088B" w:rsidP="008A088B">
            <w:pPr>
              <w:rPr>
                <w:rFonts w:ascii="Arial" w:hAnsi="Arial" w:cs="Arial"/>
                <w:b/>
                <w:bCs/>
                <w:sz w:val="20"/>
              </w:rPr>
            </w:pPr>
            <w:bookmarkStart w:id="1" w:name="_Hlk79060716"/>
            <w:r w:rsidRPr="008A088B">
              <w:rPr>
                <w:rFonts w:ascii="Arial" w:hAnsi="Arial" w:cs="Arial"/>
                <w:b/>
                <w:bCs/>
                <w:sz w:val="20"/>
              </w:rPr>
              <w:t xml:space="preserve">Face coverings: </w:t>
            </w:r>
          </w:p>
          <w:p w14:paraId="0A958DED" w14:textId="77777777" w:rsidR="008A088B" w:rsidRPr="008A088B" w:rsidRDefault="008A088B" w:rsidP="008A088B">
            <w:pPr>
              <w:rPr>
                <w:rFonts w:ascii="Arial" w:hAnsi="Arial" w:cs="Arial"/>
                <w:sz w:val="20"/>
              </w:rPr>
            </w:pPr>
            <w:r w:rsidRPr="008A088B">
              <w:rPr>
                <w:rFonts w:ascii="Arial" w:hAnsi="Arial" w:cs="Arial"/>
                <w:sz w:val="20"/>
              </w:rPr>
              <w:t xml:space="preserve">Following guidance from the University System of Georgia, face coverings are recommended for all individuals while inside campus facilities. </w:t>
            </w:r>
            <w:bookmarkEnd w:id="1"/>
          </w:p>
          <w:p w14:paraId="2672749F" w14:textId="77777777" w:rsidR="008A088B" w:rsidRPr="008A088B" w:rsidRDefault="008A088B" w:rsidP="008A088B">
            <w:pPr>
              <w:rPr>
                <w:rFonts w:ascii="Arial" w:hAnsi="Arial" w:cs="Arial"/>
                <w:b/>
                <w:bCs/>
                <w:sz w:val="20"/>
              </w:rPr>
            </w:pPr>
          </w:p>
          <w:p w14:paraId="0FF0C218" w14:textId="77777777" w:rsidR="008A088B" w:rsidRPr="008A088B" w:rsidRDefault="008A088B" w:rsidP="008A088B">
            <w:pPr>
              <w:rPr>
                <w:rFonts w:ascii="Arial" w:hAnsi="Arial" w:cs="Arial"/>
                <w:b/>
                <w:bCs/>
                <w:sz w:val="20"/>
              </w:rPr>
            </w:pPr>
            <w:r w:rsidRPr="008A088B">
              <w:rPr>
                <w:rFonts w:ascii="Arial" w:hAnsi="Arial" w:cs="Arial"/>
                <w:b/>
                <w:bCs/>
                <w:sz w:val="20"/>
              </w:rPr>
              <w:t>How can I obtain the COVID-19 vaccine?</w:t>
            </w:r>
          </w:p>
          <w:p w14:paraId="2252CD64" w14:textId="77777777" w:rsidR="008A088B" w:rsidRPr="008A088B" w:rsidRDefault="008A088B" w:rsidP="008A088B">
            <w:pPr>
              <w:rPr>
                <w:rFonts w:ascii="Arial" w:hAnsi="Arial" w:cs="Arial"/>
                <w:sz w:val="20"/>
              </w:rPr>
            </w:pPr>
            <w:r w:rsidRPr="008A088B">
              <w:rPr>
                <w:rFonts w:ascii="Arial" w:hAnsi="Arial" w:cs="Arial"/>
                <w:sz w:val="20"/>
              </w:rPr>
              <w:lastRenderedPageBreak/>
              <w:t>University Health Center is scheduling appointments for students through the UHC Patient Portal (</w:t>
            </w:r>
            <w:hyperlink r:id="rId12" w:history="1">
              <w:r w:rsidRPr="008A088B">
                <w:rPr>
                  <w:rStyle w:val="Hyperlink"/>
                  <w:rFonts w:ascii="Arial" w:hAnsi="Arial" w:cs="Arial"/>
                  <w:sz w:val="20"/>
                </w:rPr>
                <w:t>https://patientportal.uhs.uga.edu/login_dualauthentication.aspx</w:t>
              </w:r>
            </w:hyperlink>
            <w:r w:rsidRPr="008A088B">
              <w:rPr>
                <w:rFonts w:ascii="Arial" w:hAnsi="Arial" w:cs="Arial"/>
                <w:sz w:val="20"/>
              </w:rPr>
              <w:t xml:space="preserve">).  Learn more here – </w:t>
            </w:r>
            <w:hyperlink r:id="rId13" w:history="1">
              <w:r w:rsidRPr="008A088B">
                <w:rPr>
                  <w:rStyle w:val="Hyperlink"/>
                  <w:rFonts w:ascii="Arial" w:hAnsi="Arial" w:cs="Arial"/>
                  <w:sz w:val="20"/>
                </w:rPr>
                <w:t>https://www.uhs.uga.edu/healthtopics/covid-vaccine</w:t>
              </w:r>
            </w:hyperlink>
            <w:r w:rsidRPr="008A088B">
              <w:rPr>
                <w:rFonts w:ascii="Arial" w:hAnsi="Arial" w:cs="Arial"/>
                <w:sz w:val="20"/>
              </w:rPr>
              <w:t>.</w:t>
            </w:r>
          </w:p>
          <w:p w14:paraId="5D9E316B" w14:textId="77777777" w:rsidR="008A088B" w:rsidRPr="008A088B" w:rsidRDefault="008A088B" w:rsidP="008A088B">
            <w:pPr>
              <w:rPr>
                <w:rFonts w:ascii="Arial" w:hAnsi="Arial" w:cs="Arial"/>
                <w:b/>
                <w:bCs/>
                <w:sz w:val="20"/>
              </w:rPr>
            </w:pPr>
          </w:p>
          <w:p w14:paraId="18DAC9A3" w14:textId="77777777" w:rsidR="008A088B" w:rsidRPr="008A088B" w:rsidRDefault="008A088B" w:rsidP="008A088B">
            <w:pPr>
              <w:rPr>
                <w:rFonts w:ascii="Arial" w:hAnsi="Arial" w:cs="Arial"/>
                <w:sz w:val="20"/>
              </w:rPr>
            </w:pPr>
            <w:r w:rsidRPr="008A088B">
              <w:rPr>
                <w:rFonts w:ascii="Arial" w:hAnsi="Arial" w:cs="Arial"/>
                <w:sz w:val="20"/>
              </w:rPr>
              <w:t xml:space="preserve">The Georgia Department of Health, pharmacy chains and local providers also offer the COVID-19 vaccine at no cost to you. To find a COVID-19 vaccination location near you, please go to:  </w:t>
            </w:r>
            <w:hyperlink r:id="rId14" w:history="1">
              <w:r w:rsidRPr="008A088B">
                <w:rPr>
                  <w:rStyle w:val="Hyperlink"/>
                  <w:rFonts w:ascii="Arial" w:hAnsi="Arial" w:cs="Arial"/>
                  <w:sz w:val="20"/>
                </w:rPr>
                <w:t>https://georgia.gov/covid-vaccine</w:t>
              </w:r>
            </w:hyperlink>
            <w:r w:rsidRPr="008A088B">
              <w:rPr>
                <w:rFonts w:ascii="Arial" w:hAnsi="Arial" w:cs="Arial"/>
                <w:sz w:val="20"/>
              </w:rPr>
              <w:t xml:space="preserve">. </w:t>
            </w:r>
          </w:p>
          <w:p w14:paraId="1C763E0B" w14:textId="77777777" w:rsidR="008A088B" w:rsidRPr="008A088B" w:rsidRDefault="008A088B" w:rsidP="008A088B">
            <w:pPr>
              <w:rPr>
                <w:rFonts w:ascii="Arial" w:hAnsi="Arial" w:cs="Arial"/>
                <w:b/>
                <w:bCs/>
                <w:sz w:val="20"/>
              </w:rPr>
            </w:pPr>
          </w:p>
          <w:p w14:paraId="7F36FEF0" w14:textId="77777777" w:rsidR="008A088B" w:rsidRPr="008A088B" w:rsidRDefault="008A088B" w:rsidP="008A088B">
            <w:pPr>
              <w:rPr>
                <w:rFonts w:ascii="Arial" w:hAnsi="Arial" w:cs="Arial"/>
                <w:sz w:val="20"/>
              </w:rPr>
            </w:pPr>
            <w:r w:rsidRPr="008A088B">
              <w:rPr>
                <w:rFonts w:ascii="Arial" w:hAnsi="Arial" w:cs="Arial"/>
                <w:sz w:val="20"/>
              </w:rPr>
              <w:t xml:space="preserve">In addition, the University System of Georgia has made COVID-19 vaccines available at 15 campuses statewide and you can locate one here: </w:t>
            </w:r>
            <w:hyperlink r:id="rId15" w:history="1">
              <w:r w:rsidRPr="008A088B">
                <w:rPr>
                  <w:rStyle w:val="Hyperlink"/>
                  <w:rFonts w:ascii="Arial" w:hAnsi="Arial" w:cs="Arial"/>
                  <w:sz w:val="20"/>
                </w:rPr>
                <w:t>https://www.usg.edu/vaccination</w:t>
              </w:r>
            </w:hyperlink>
            <w:r w:rsidRPr="008A088B">
              <w:rPr>
                <w:rFonts w:ascii="Arial" w:hAnsi="Arial" w:cs="Arial"/>
                <w:sz w:val="20"/>
              </w:rPr>
              <w:t xml:space="preserve"> </w:t>
            </w:r>
          </w:p>
          <w:p w14:paraId="7BDF404F" w14:textId="77777777" w:rsidR="008A088B" w:rsidRPr="008A088B" w:rsidRDefault="008A088B" w:rsidP="008A088B">
            <w:pPr>
              <w:rPr>
                <w:rFonts w:ascii="Arial" w:hAnsi="Arial" w:cs="Arial"/>
                <w:b/>
                <w:bCs/>
                <w:sz w:val="20"/>
              </w:rPr>
            </w:pPr>
          </w:p>
          <w:p w14:paraId="3EB3121B" w14:textId="77777777" w:rsidR="008A088B" w:rsidRPr="008A088B" w:rsidRDefault="008A088B" w:rsidP="008A088B">
            <w:pPr>
              <w:rPr>
                <w:rFonts w:ascii="Arial" w:hAnsi="Arial" w:cs="Arial"/>
                <w:b/>
                <w:bCs/>
                <w:sz w:val="20"/>
              </w:rPr>
            </w:pPr>
            <w:r w:rsidRPr="008A088B">
              <w:rPr>
                <w:rFonts w:ascii="Arial" w:hAnsi="Arial" w:cs="Arial"/>
                <w:b/>
                <w:bCs/>
                <w:sz w:val="20"/>
              </w:rPr>
              <w:t xml:space="preserve">What do I do if I have COVID-19 symptoms? </w:t>
            </w:r>
          </w:p>
          <w:p w14:paraId="76CA75F0" w14:textId="77777777" w:rsidR="008A088B" w:rsidRPr="008A088B" w:rsidRDefault="008A088B" w:rsidP="008A088B">
            <w:pPr>
              <w:rPr>
                <w:rFonts w:ascii="Arial" w:hAnsi="Arial" w:cs="Arial"/>
                <w:sz w:val="20"/>
              </w:rPr>
            </w:pPr>
            <w:r w:rsidRPr="008A088B">
              <w:rPr>
                <w:rFonts w:ascii="Arial" w:hAnsi="Arial" w:cs="Arial"/>
                <w:sz w:val="20"/>
              </w:rPr>
              <w:t xml:space="preserve">Students showing COVID-19 symptoms should self-isolate and get tested. You can schedule an appointment with the University Health Center by calling 706-542-1162 (Monday-Friday, 8 a.m.-5p.m.). Please DO NOT walk-in. For emergencies and after-hours care, see </w:t>
            </w:r>
            <w:hyperlink r:id="rId16" w:history="1">
              <w:r w:rsidRPr="008A088B">
                <w:rPr>
                  <w:rStyle w:val="Hyperlink"/>
                  <w:rFonts w:ascii="Arial" w:hAnsi="Arial" w:cs="Arial"/>
                  <w:sz w:val="20"/>
                </w:rPr>
                <w:t>https://www.uhs.uga.edu/info/emergencies</w:t>
              </w:r>
            </w:hyperlink>
            <w:r w:rsidRPr="008A088B">
              <w:rPr>
                <w:rFonts w:ascii="Arial" w:hAnsi="Arial" w:cs="Arial"/>
                <w:sz w:val="20"/>
              </w:rPr>
              <w:t>.</w:t>
            </w:r>
          </w:p>
          <w:p w14:paraId="501B7A1D" w14:textId="77777777" w:rsidR="008A088B" w:rsidRPr="008A088B" w:rsidRDefault="008A088B" w:rsidP="008A088B">
            <w:pPr>
              <w:rPr>
                <w:rFonts w:ascii="Arial" w:hAnsi="Arial" w:cs="Arial"/>
                <w:b/>
                <w:bCs/>
                <w:sz w:val="20"/>
              </w:rPr>
            </w:pPr>
          </w:p>
          <w:p w14:paraId="4928832D" w14:textId="77777777" w:rsidR="008A088B" w:rsidRPr="008A088B" w:rsidRDefault="008A088B" w:rsidP="008A088B">
            <w:pPr>
              <w:rPr>
                <w:rFonts w:ascii="Arial" w:hAnsi="Arial" w:cs="Arial"/>
                <w:b/>
                <w:bCs/>
                <w:sz w:val="20"/>
              </w:rPr>
            </w:pPr>
            <w:r w:rsidRPr="008A088B">
              <w:rPr>
                <w:rFonts w:ascii="Arial" w:hAnsi="Arial" w:cs="Arial"/>
                <w:b/>
                <w:bCs/>
                <w:sz w:val="20"/>
              </w:rPr>
              <w:t>What do I do if I test positive for COVID-19? (Isolation guidance)</w:t>
            </w:r>
          </w:p>
          <w:p w14:paraId="323D2A9E" w14:textId="77777777" w:rsidR="008A088B" w:rsidRPr="008A088B" w:rsidRDefault="008A088B" w:rsidP="008A088B">
            <w:pPr>
              <w:rPr>
                <w:rFonts w:ascii="Arial" w:hAnsi="Arial" w:cs="Arial"/>
                <w:sz w:val="20"/>
              </w:rPr>
            </w:pPr>
            <w:r w:rsidRPr="008A088B">
              <w:rPr>
                <w:rFonts w:ascii="Arial" w:hAnsi="Arial" w:cs="Arial"/>
                <w:sz w:val="20"/>
              </w:rPr>
              <w:t>If you test positive for COVID-19 at any time, either through a PCR test, an Antigen test, or a home test kit, you are required to report it through the </w:t>
            </w:r>
            <w:hyperlink r:id="rId17" w:history="1">
              <w:r w:rsidRPr="008A088B">
                <w:rPr>
                  <w:rStyle w:val="Hyperlink"/>
                  <w:rFonts w:ascii="Arial" w:hAnsi="Arial" w:cs="Arial"/>
                  <w:sz w:val="20"/>
                </w:rPr>
                <w:t>DawgCheck Test Reporting Survey</w:t>
              </w:r>
            </w:hyperlink>
            <w:r w:rsidRPr="008A088B">
              <w:rPr>
                <w:rFonts w:ascii="Arial" w:hAnsi="Arial" w:cs="Arial"/>
                <w:sz w:val="20"/>
              </w:rPr>
              <w:t>. Follow the instructions provided to you when you report your positive test result in DawgCheck.</w:t>
            </w:r>
          </w:p>
          <w:p w14:paraId="6F98BDFF" w14:textId="77777777" w:rsidR="008A088B" w:rsidRPr="008A088B" w:rsidRDefault="008A088B" w:rsidP="008A088B">
            <w:pPr>
              <w:rPr>
                <w:rFonts w:ascii="Arial" w:hAnsi="Arial" w:cs="Arial"/>
                <w:b/>
                <w:bCs/>
                <w:sz w:val="20"/>
              </w:rPr>
            </w:pPr>
          </w:p>
          <w:p w14:paraId="51BDCE3B" w14:textId="77777777" w:rsidR="008A088B" w:rsidRPr="008A088B" w:rsidRDefault="008A088B" w:rsidP="008A088B">
            <w:pPr>
              <w:rPr>
                <w:rFonts w:ascii="Arial" w:hAnsi="Arial" w:cs="Arial"/>
                <w:sz w:val="20"/>
              </w:rPr>
            </w:pPr>
            <w:r w:rsidRPr="008A088B">
              <w:rPr>
                <w:rFonts w:ascii="Arial" w:hAnsi="Arial" w:cs="Arial"/>
                <w:sz w:val="20"/>
              </w:rPr>
              <w:t>As of December 29, 2021, when an individual receive a positive COVID-19 test: Everyone, regardless of vaccination status, should:</w:t>
            </w:r>
          </w:p>
          <w:p w14:paraId="799D8B2A" w14:textId="77777777" w:rsidR="008A088B" w:rsidRPr="008A088B" w:rsidRDefault="008A088B" w:rsidP="008A088B">
            <w:pPr>
              <w:numPr>
                <w:ilvl w:val="0"/>
                <w:numId w:val="6"/>
              </w:numPr>
              <w:rPr>
                <w:rFonts w:ascii="Arial" w:hAnsi="Arial" w:cs="Arial"/>
                <w:sz w:val="20"/>
              </w:rPr>
            </w:pPr>
            <w:r w:rsidRPr="008A088B">
              <w:rPr>
                <w:rFonts w:ascii="Arial" w:hAnsi="Arial" w:cs="Arial"/>
                <w:sz w:val="20"/>
              </w:rPr>
              <w:t>Stay home for 5 days.</w:t>
            </w:r>
          </w:p>
          <w:p w14:paraId="2BF0D361" w14:textId="77777777" w:rsidR="008A088B" w:rsidRPr="008A088B" w:rsidRDefault="008A088B" w:rsidP="008A088B">
            <w:pPr>
              <w:numPr>
                <w:ilvl w:val="0"/>
                <w:numId w:val="6"/>
              </w:numPr>
              <w:rPr>
                <w:rFonts w:ascii="Arial" w:hAnsi="Arial" w:cs="Arial"/>
                <w:sz w:val="20"/>
              </w:rPr>
            </w:pPr>
            <w:r w:rsidRPr="008A088B">
              <w:rPr>
                <w:rFonts w:ascii="Arial" w:hAnsi="Arial" w:cs="Arial"/>
                <w:sz w:val="20"/>
              </w:rPr>
              <w:t xml:space="preserve">If you have symptoms or your symptoms are resolving after 5 days, you can leave your house and return to class. </w:t>
            </w:r>
          </w:p>
          <w:p w14:paraId="50E9F34C" w14:textId="77777777" w:rsidR="008A088B" w:rsidRPr="008A088B" w:rsidRDefault="008A088B" w:rsidP="008A088B">
            <w:pPr>
              <w:numPr>
                <w:ilvl w:val="0"/>
                <w:numId w:val="6"/>
              </w:numPr>
              <w:rPr>
                <w:rFonts w:ascii="Arial" w:hAnsi="Arial" w:cs="Arial"/>
                <w:sz w:val="20"/>
              </w:rPr>
            </w:pPr>
            <w:r w:rsidRPr="008A088B">
              <w:rPr>
                <w:rFonts w:ascii="Arial" w:hAnsi="Arial" w:cs="Arial"/>
                <w:sz w:val="20"/>
              </w:rPr>
              <w:t>Continue to wear a mask around others for 5 additional days.</w:t>
            </w:r>
          </w:p>
          <w:p w14:paraId="3A279A41" w14:textId="77777777" w:rsidR="008A088B" w:rsidRPr="008A088B" w:rsidRDefault="008A088B" w:rsidP="008A088B">
            <w:pPr>
              <w:rPr>
                <w:rFonts w:ascii="Arial" w:hAnsi="Arial" w:cs="Arial"/>
                <w:sz w:val="20"/>
              </w:rPr>
            </w:pPr>
            <w:r w:rsidRPr="008A088B">
              <w:rPr>
                <w:rFonts w:ascii="Arial" w:hAnsi="Arial" w:cs="Arial"/>
                <w:sz w:val="20"/>
              </w:rPr>
              <w:t>What do I do if I have been exposed to COVID-19? (Quarantine guidance)</w:t>
            </w:r>
          </w:p>
          <w:p w14:paraId="1C557BD1" w14:textId="77777777" w:rsidR="008A088B" w:rsidRPr="008A088B" w:rsidRDefault="008A088B" w:rsidP="008A088B">
            <w:pPr>
              <w:rPr>
                <w:rFonts w:ascii="Arial" w:hAnsi="Arial" w:cs="Arial"/>
                <w:sz w:val="20"/>
              </w:rPr>
            </w:pPr>
            <w:bookmarkStart w:id="2" w:name="_Hlk79060785"/>
            <w:r w:rsidRPr="008A088B">
              <w:rPr>
                <w:rFonts w:ascii="Arial" w:hAnsi="Arial" w:cs="Arial"/>
                <w:sz w:val="20"/>
              </w:rPr>
              <w:t>If you have been exposed (within 6 feet for a cumulative total of 15 minutes or more over a 24-hour period – unmasked**) to someone with COVID-19 or to someone with a positive COVID-19 test and you are:</w:t>
            </w:r>
          </w:p>
          <w:p w14:paraId="167BD05A" w14:textId="77777777" w:rsidR="008A088B" w:rsidRPr="008A088B" w:rsidRDefault="008A088B" w:rsidP="008A088B">
            <w:pPr>
              <w:numPr>
                <w:ilvl w:val="0"/>
                <w:numId w:val="7"/>
              </w:numPr>
              <w:rPr>
                <w:rFonts w:ascii="Arial" w:hAnsi="Arial" w:cs="Arial"/>
                <w:sz w:val="20"/>
              </w:rPr>
            </w:pPr>
            <w:r w:rsidRPr="008A088B">
              <w:rPr>
                <w:rFonts w:ascii="Arial" w:hAnsi="Arial" w:cs="Arial"/>
                <w:sz w:val="20"/>
              </w:rPr>
              <w:t>Boosted, or have become fully vaccinated within the last 6 months (Moderna or Pfizer vaccine) or within the last 2 months (J&amp;J vaccine)</w:t>
            </w:r>
          </w:p>
          <w:p w14:paraId="26F4D4DA" w14:textId="77777777" w:rsidR="008A088B" w:rsidRPr="008A088B" w:rsidRDefault="008A088B" w:rsidP="008A088B">
            <w:pPr>
              <w:numPr>
                <w:ilvl w:val="1"/>
                <w:numId w:val="7"/>
              </w:numPr>
              <w:rPr>
                <w:rFonts w:ascii="Arial" w:hAnsi="Arial" w:cs="Arial"/>
                <w:sz w:val="20"/>
              </w:rPr>
            </w:pPr>
            <w:r w:rsidRPr="008A088B">
              <w:rPr>
                <w:rFonts w:ascii="Arial" w:hAnsi="Arial" w:cs="Arial"/>
                <w:sz w:val="20"/>
              </w:rPr>
              <w:t>You do not need to quarantine at home and may come to class.</w:t>
            </w:r>
          </w:p>
          <w:p w14:paraId="199685F7" w14:textId="77777777" w:rsidR="008A088B" w:rsidRPr="008A088B" w:rsidRDefault="008A088B" w:rsidP="008A088B">
            <w:pPr>
              <w:numPr>
                <w:ilvl w:val="1"/>
                <w:numId w:val="7"/>
              </w:numPr>
              <w:rPr>
                <w:rFonts w:ascii="Arial" w:hAnsi="Arial" w:cs="Arial"/>
                <w:sz w:val="20"/>
              </w:rPr>
            </w:pPr>
            <w:r w:rsidRPr="008A088B">
              <w:rPr>
                <w:rFonts w:ascii="Arial" w:hAnsi="Arial" w:cs="Arial"/>
                <w:sz w:val="20"/>
              </w:rPr>
              <w:t>You should wear a mask around others for 10 days.</w:t>
            </w:r>
          </w:p>
          <w:p w14:paraId="3E9E153F" w14:textId="77777777" w:rsidR="008A088B" w:rsidRPr="008A088B" w:rsidRDefault="008A088B" w:rsidP="008A088B">
            <w:pPr>
              <w:numPr>
                <w:ilvl w:val="1"/>
                <w:numId w:val="7"/>
              </w:numPr>
              <w:rPr>
                <w:rFonts w:ascii="Arial" w:hAnsi="Arial" w:cs="Arial"/>
                <w:sz w:val="20"/>
              </w:rPr>
            </w:pPr>
            <w:r w:rsidRPr="008A088B">
              <w:rPr>
                <w:rFonts w:ascii="Arial" w:hAnsi="Arial" w:cs="Arial"/>
                <w:sz w:val="20"/>
              </w:rPr>
              <w:t>If possible, get tested on day 5.</w:t>
            </w:r>
          </w:p>
          <w:p w14:paraId="51A1D46C" w14:textId="77777777" w:rsidR="008A088B" w:rsidRPr="008A088B" w:rsidRDefault="008A088B" w:rsidP="008A088B">
            <w:pPr>
              <w:numPr>
                <w:ilvl w:val="1"/>
                <w:numId w:val="7"/>
              </w:numPr>
              <w:rPr>
                <w:rFonts w:ascii="Arial" w:hAnsi="Arial" w:cs="Arial"/>
                <w:sz w:val="20"/>
              </w:rPr>
            </w:pPr>
            <w:r w:rsidRPr="008A088B">
              <w:rPr>
                <w:rFonts w:ascii="Arial" w:hAnsi="Arial" w:cs="Arial"/>
                <w:sz w:val="20"/>
              </w:rPr>
              <w:t>If you develop symptoms, get tested and isolate at home until test results are received, then proceed in accordance with the test results.</w:t>
            </w:r>
          </w:p>
          <w:p w14:paraId="485F1876" w14:textId="77777777" w:rsidR="008A088B" w:rsidRPr="008A088B" w:rsidRDefault="008A088B" w:rsidP="008A088B">
            <w:pPr>
              <w:numPr>
                <w:ilvl w:val="0"/>
                <w:numId w:val="7"/>
              </w:numPr>
              <w:rPr>
                <w:rFonts w:ascii="Arial" w:hAnsi="Arial" w:cs="Arial"/>
                <w:sz w:val="20"/>
              </w:rPr>
            </w:pPr>
            <w:r w:rsidRPr="008A088B">
              <w:rPr>
                <w:rFonts w:ascii="Arial" w:hAnsi="Arial" w:cs="Arial"/>
                <w:sz w:val="20"/>
              </w:rPr>
              <w:t>Unvaccinated, or became fully vaccinated more than 6 months ago (Moderna or Pfizer vaccine) or more than 2 months ago (J&amp;J vaccine) and have not received a booster:</w:t>
            </w:r>
          </w:p>
          <w:p w14:paraId="033A4FEC" w14:textId="77777777" w:rsidR="008A088B" w:rsidRPr="008A088B" w:rsidRDefault="008A088B" w:rsidP="008A088B">
            <w:pPr>
              <w:numPr>
                <w:ilvl w:val="1"/>
                <w:numId w:val="7"/>
              </w:numPr>
              <w:rPr>
                <w:rFonts w:ascii="Arial" w:hAnsi="Arial" w:cs="Arial"/>
                <w:sz w:val="20"/>
              </w:rPr>
            </w:pPr>
            <w:r w:rsidRPr="008A088B">
              <w:rPr>
                <w:rFonts w:ascii="Arial" w:hAnsi="Arial" w:cs="Arial"/>
                <w:sz w:val="20"/>
              </w:rPr>
              <w:t>You must quarantine at home for 5 days. After that you may return to class but continue to wear a mask around others for 5 additional days.</w:t>
            </w:r>
          </w:p>
          <w:p w14:paraId="6F18B72C" w14:textId="77777777" w:rsidR="008A088B" w:rsidRPr="008A088B" w:rsidRDefault="008A088B" w:rsidP="008A088B">
            <w:pPr>
              <w:numPr>
                <w:ilvl w:val="1"/>
                <w:numId w:val="7"/>
              </w:numPr>
              <w:rPr>
                <w:rFonts w:ascii="Arial" w:hAnsi="Arial" w:cs="Arial"/>
                <w:sz w:val="20"/>
              </w:rPr>
            </w:pPr>
            <w:r w:rsidRPr="008A088B">
              <w:rPr>
                <w:rFonts w:ascii="Arial" w:hAnsi="Arial" w:cs="Arial"/>
                <w:sz w:val="20"/>
              </w:rPr>
              <w:t>If possible, get tested on day 5.</w:t>
            </w:r>
          </w:p>
          <w:p w14:paraId="2237F3CC" w14:textId="77777777" w:rsidR="008A088B" w:rsidRPr="008A088B" w:rsidRDefault="008A088B" w:rsidP="008A088B">
            <w:pPr>
              <w:numPr>
                <w:ilvl w:val="1"/>
                <w:numId w:val="7"/>
              </w:numPr>
              <w:rPr>
                <w:rFonts w:ascii="Arial" w:hAnsi="Arial" w:cs="Arial"/>
                <w:sz w:val="20"/>
              </w:rPr>
            </w:pPr>
            <w:r w:rsidRPr="008A088B">
              <w:rPr>
                <w:rFonts w:ascii="Arial" w:hAnsi="Arial" w:cs="Arial"/>
                <w:sz w:val="20"/>
              </w:rPr>
              <w:t>If you develop symptoms, get tested and isolate at home until test results are received, then proceed in accordance with the test results.</w:t>
            </w:r>
          </w:p>
          <w:p w14:paraId="57909760" w14:textId="77777777" w:rsidR="008A088B" w:rsidRPr="008A088B" w:rsidRDefault="008A088B" w:rsidP="008A088B">
            <w:pPr>
              <w:rPr>
                <w:rFonts w:ascii="Arial" w:hAnsi="Arial" w:cs="Arial"/>
                <w:sz w:val="20"/>
              </w:rPr>
            </w:pPr>
            <w:r w:rsidRPr="008A088B">
              <w:rPr>
                <w:rFonts w:ascii="Arial" w:hAnsi="Arial" w:cs="Arial"/>
                <w:sz w:val="20"/>
              </w:rPr>
              <w:t>** “Masked-to-masked” encounters are not currently considered an exposure; this type of interaction would not warrant quarantine.</w:t>
            </w:r>
          </w:p>
          <w:p w14:paraId="610C158A" w14:textId="77777777" w:rsidR="008A088B" w:rsidRPr="008A088B" w:rsidRDefault="008A088B" w:rsidP="008A088B">
            <w:pPr>
              <w:rPr>
                <w:rFonts w:ascii="Arial" w:hAnsi="Arial" w:cs="Arial"/>
                <w:b/>
                <w:bCs/>
                <w:sz w:val="20"/>
              </w:rPr>
            </w:pPr>
          </w:p>
          <w:p w14:paraId="27A33CE8" w14:textId="77777777" w:rsidR="008A088B" w:rsidRPr="008A088B" w:rsidRDefault="008A088B" w:rsidP="008A088B">
            <w:pPr>
              <w:rPr>
                <w:rFonts w:ascii="Arial" w:hAnsi="Arial" w:cs="Arial"/>
                <w:sz w:val="20"/>
              </w:rPr>
            </w:pPr>
            <w:r w:rsidRPr="008A088B">
              <w:rPr>
                <w:rFonts w:ascii="Arial" w:hAnsi="Arial" w:cs="Arial"/>
                <w:sz w:val="20"/>
              </w:rPr>
              <w:t xml:space="preserve">You should report the need to quarantine on </w:t>
            </w:r>
            <w:hyperlink r:id="rId18" w:history="1">
              <w:r w:rsidRPr="008A088B">
                <w:rPr>
                  <w:rStyle w:val="Hyperlink"/>
                  <w:rFonts w:ascii="Arial" w:hAnsi="Arial" w:cs="Arial"/>
                  <w:sz w:val="20"/>
                </w:rPr>
                <w:t>DawgCheck</w:t>
              </w:r>
            </w:hyperlink>
            <w:r w:rsidRPr="008A088B">
              <w:rPr>
                <w:rFonts w:ascii="Arial" w:hAnsi="Arial" w:cs="Arial"/>
                <w:sz w:val="20"/>
              </w:rPr>
              <w:t xml:space="preserve"> (</w:t>
            </w:r>
            <w:hyperlink r:id="rId19" w:history="1">
              <w:r w:rsidRPr="008A088B">
                <w:rPr>
                  <w:rStyle w:val="Hyperlink"/>
                  <w:rFonts w:ascii="Arial" w:hAnsi="Arial" w:cs="Arial"/>
                  <w:sz w:val="20"/>
                </w:rPr>
                <w:t>https://dawgcheck.uga.edu/</w:t>
              </w:r>
            </w:hyperlink>
            <w:r w:rsidRPr="008A088B">
              <w:rPr>
                <w:rFonts w:ascii="Arial" w:hAnsi="Arial" w:cs="Arial"/>
                <w:sz w:val="20"/>
              </w:rPr>
              <w:t>), and communicate directly with your faculty to coordinate your coursework while in quarantine. If you need additional help, reach out to Student Care and Outreach (</w:t>
            </w:r>
            <w:hyperlink r:id="rId20" w:history="1">
              <w:r w:rsidRPr="008A088B">
                <w:rPr>
                  <w:rStyle w:val="Hyperlink"/>
                  <w:rFonts w:ascii="Arial" w:hAnsi="Arial" w:cs="Arial"/>
                  <w:sz w:val="20"/>
                </w:rPr>
                <w:t>sco@uga.edu</w:t>
              </w:r>
            </w:hyperlink>
            <w:r w:rsidRPr="008A088B">
              <w:rPr>
                <w:rFonts w:ascii="Arial" w:hAnsi="Arial" w:cs="Arial"/>
                <w:sz w:val="20"/>
              </w:rPr>
              <w:t xml:space="preserve">) for assistance. </w:t>
            </w:r>
          </w:p>
          <w:bookmarkEnd w:id="2"/>
          <w:p w14:paraId="3C6447BB" w14:textId="77777777" w:rsidR="008A088B" w:rsidRPr="008A088B" w:rsidRDefault="008A088B" w:rsidP="008A088B">
            <w:pPr>
              <w:rPr>
                <w:rFonts w:ascii="Arial" w:hAnsi="Arial" w:cs="Arial"/>
                <w:b/>
                <w:bCs/>
                <w:sz w:val="20"/>
              </w:rPr>
            </w:pPr>
          </w:p>
          <w:p w14:paraId="6E20944B" w14:textId="77777777" w:rsidR="008A088B" w:rsidRPr="008A088B" w:rsidRDefault="008A088B" w:rsidP="008A088B">
            <w:pPr>
              <w:rPr>
                <w:rFonts w:ascii="Arial" w:hAnsi="Arial" w:cs="Arial"/>
                <w:b/>
                <w:bCs/>
                <w:sz w:val="20"/>
              </w:rPr>
            </w:pPr>
          </w:p>
          <w:p w14:paraId="72E5E666" w14:textId="77777777" w:rsidR="008A088B" w:rsidRPr="008A088B" w:rsidRDefault="008A088B" w:rsidP="008A088B">
            <w:pPr>
              <w:rPr>
                <w:rFonts w:ascii="Arial" w:hAnsi="Arial" w:cs="Arial"/>
                <w:b/>
                <w:bCs/>
                <w:sz w:val="20"/>
              </w:rPr>
            </w:pPr>
            <w:r w:rsidRPr="008A088B">
              <w:rPr>
                <w:rFonts w:ascii="Arial" w:hAnsi="Arial" w:cs="Arial"/>
                <w:b/>
                <w:bCs/>
                <w:sz w:val="20"/>
              </w:rPr>
              <w:t>Well-being, mental health, and student support</w:t>
            </w:r>
          </w:p>
          <w:p w14:paraId="78C4B948" w14:textId="77777777" w:rsidR="008A088B" w:rsidRPr="008A088B" w:rsidRDefault="008A088B" w:rsidP="008A088B">
            <w:pPr>
              <w:rPr>
                <w:rFonts w:ascii="Arial" w:hAnsi="Arial" w:cs="Arial"/>
                <w:sz w:val="20"/>
              </w:rPr>
            </w:pPr>
            <w:r w:rsidRPr="008A088B">
              <w:rPr>
                <w:rFonts w:ascii="Arial" w:hAnsi="Arial" w:cs="Arial"/>
                <w:sz w:val="20"/>
              </w:rPr>
              <w:t xml:space="preserve">If you or someone you know needs assistance, you are encouraged to contact Student Care &amp; Outreach in the Division of Student Affairs at 706-542-7774 or visit </w:t>
            </w:r>
            <w:hyperlink r:id="rId21" w:history="1">
              <w:r w:rsidRPr="008A088B">
                <w:rPr>
                  <w:rStyle w:val="Hyperlink"/>
                  <w:rFonts w:ascii="Arial" w:hAnsi="Arial" w:cs="Arial"/>
                  <w:sz w:val="20"/>
                </w:rPr>
                <w:t>https://sco.uga.edu/</w:t>
              </w:r>
            </w:hyperlink>
            <w:r w:rsidRPr="008A088B">
              <w:rPr>
                <w:rFonts w:ascii="Arial" w:hAnsi="Arial" w:cs="Arial"/>
                <w:sz w:val="20"/>
              </w:rPr>
              <w:t xml:space="preserve">. They will help you navigate any difficult circumstances you may be facing by connecting you with the appropriate resources or services. UGA has several resources to support your well-being and mental health: </w:t>
            </w:r>
            <w:hyperlink r:id="rId22" w:history="1">
              <w:r w:rsidRPr="008A088B">
                <w:rPr>
                  <w:rStyle w:val="Hyperlink"/>
                  <w:rFonts w:ascii="Arial" w:hAnsi="Arial" w:cs="Arial"/>
                  <w:sz w:val="20"/>
                </w:rPr>
                <w:t>https://well-being.uga.edu/</w:t>
              </w:r>
            </w:hyperlink>
            <w:r w:rsidRPr="008A088B">
              <w:rPr>
                <w:rFonts w:ascii="Arial" w:hAnsi="Arial" w:cs="Arial"/>
                <w:sz w:val="20"/>
              </w:rPr>
              <w:t xml:space="preserve"> </w:t>
            </w:r>
          </w:p>
          <w:p w14:paraId="2E050475" w14:textId="77777777" w:rsidR="008A088B" w:rsidRPr="008A088B" w:rsidRDefault="008A088B" w:rsidP="008A088B">
            <w:pPr>
              <w:rPr>
                <w:rFonts w:ascii="Arial" w:hAnsi="Arial" w:cs="Arial"/>
                <w:b/>
                <w:bCs/>
                <w:sz w:val="20"/>
              </w:rPr>
            </w:pPr>
          </w:p>
          <w:p w14:paraId="1188B561" w14:textId="77777777" w:rsidR="008A088B" w:rsidRPr="008A088B" w:rsidRDefault="008A088B" w:rsidP="008A088B">
            <w:pPr>
              <w:rPr>
                <w:rFonts w:ascii="Arial" w:hAnsi="Arial" w:cs="Arial"/>
                <w:sz w:val="20"/>
              </w:rPr>
            </w:pPr>
            <w:r w:rsidRPr="008A088B">
              <w:rPr>
                <w:rFonts w:ascii="Arial" w:hAnsi="Arial" w:cs="Arial"/>
                <w:sz w:val="20"/>
              </w:rPr>
              <w:lastRenderedPageBreak/>
              <w:t>Counseling and Psychiatric Services (CAPS)</w:t>
            </w:r>
            <w:r w:rsidRPr="008A088B">
              <w:rPr>
                <w:rFonts w:ascii="Arial" w:hAnsi="Arial" w:cs="Arial"/>
                <w:iCs/>
                <w:sz w:val="20"/>
              </w:rPr>
              <w:t xml:space="preserve"> is your go-to, on-campus resource for emotional, social and behavioral-health support: </w:t>
            </w:r>
            <w:hyperlink r:id="rId23" w:history="1">
              <w:r w:rsidRPr="008A088B">
                <w:rPr>
                  <w:rStyle w:val="Hyperlink"/>
                  <w:rFonts w:ascii="Arial" w:hAnsi="Arial" w:cs="Arial"/>
                  <w:iCs/>
                  <w:sz w:val="20"/>
                </w:rPr>
                <w:t>https://caps.uga.edu/</w:t>
              </w:r>
            </w:hyperlink>
            <w:r w:rsidRPr="008A088B">
              <w:rPr>
                <w:rFonts w:ascii="Arial" w:hAnsi="Arial" w:cs="Arial"/>
                <w:iCs/>
                <w:sz w:val="20"/>
              </w:rPr>
              <w:t>, TAO Online Support (</w:t>
            </w:r>
            <w:hyperlink r:id="rId24" w:history="1">
              <w:r w:rsidRPr="008A088B">
                <w:rPr>
                  <w:rStyle w:val="Hyperlink"/>
                  <w:rFonts w:ascii="Arial" w:hAnsi="Arial" w:cs="Arial"/>
                  <w:iCs/>
                  <w:sz w:val="20"/>
                </w:rPr>
                <w:t>https://caps.uga.edu/tao/</w:t>
              </w:r>
            </w:hyperlink>
            <w:r w:rsidRPr="008A088B">
              <w:rPr>
                <w:rFonts w:ascii="Arial" w:hAnsi="Arial" w:cs="Arial"/>
                <w:iCs/>
                <w:sz w:val="20"/>
              </w:rPr>
              <w:t xml:space="preserve">), 24/7 support at 706-542-2273. For crisis support: </w:t>
            </w:r>
            <w:hyperlink r:id="rId25" w:history="1">
              <w:r w:rsidRPr="008A088B">
                <w:rPr>
                  <w:rStyle w:val="Hyperlink"/>
                  <w:rFonts w:ascii="Arial" w:hAnsi="Arial" w:cs="Arial"/>
                  <w:iCs/>
                  <w:sz w:val="20"/>
                </w:rPr>
                <w:t>https://healthcenter.uga.edu/emergencies/</w:t>
              </w:r>
            </w:hyperlink>
            <w:r w:rsidRPr="008A088B">
              <w:rPr>
                <w:rFonts w:ascii="Arial" w:hAnsi="Arial" w:cs="Arial"/>
                <w:iCs/>
                <w:sz w:val="20"/>
              </w:rPr>
              <w:t>.</w:t>
            </w:r>
          </w:p>
          <w:p w14:paraId="44A2F88B" w14:textId="77777777" w:rsidR="008A088B" w:rsidRPr="008A088B" w:rsidRDefault="008A088B" w:rsidP="008A088B">
            <w:pPr>
              <w:rPr>
                <w:rFonts w:ascii="Arial" w:hAnsi="Arial" w:cs="Arial"/>
                <w:sz w:val="20"/>
              </w:rPr>
            </w:pPr>
            <w:r w:rsidRPr="008A088B">
              <w:rPr>
                <w:rFonts w:ascii="Arial" w:hAnsi="Arial" w:cs="Arial"/>
                <w:sz w:val="20"/>
              </w:rPr>
              <w:t xml:space="preserve">The University Health Center offers FREE workshops, classes, mentoring and health coaching led by licensed clinicians or health educators: </w:t>
            </w:r>
            <w:hyperlink r:id="rId26" w:history="1">
              <w:r w:rsidRPr="008A088B">
                <w:rPr>
                  <w:rStyle w:val="Hyperlink"/>
                  <w:rFonts w:ascii="Arial" w:hAnsi="Arial" w:cs="Arial"/>
                  <w:sz w:val="20"/>
                </w:rPr>
                <w:t>https://healthcenter.uga.edu/bewelluga/</w:t>
              </w:r>
            </w:hyperlink>
            <w:r w:rsidRPr="008A088B">
              <w:rPr>
                <w:rFonts w:ascii="Arial" w:hAnsi="Arial" w:cs="Arial"/>
                <w:sz w:val="20"/>
              </w:rPr>
              <w:t xml:space="preserve"> </w:t>
            </w:r>
          </w:p>
          <w:p w14:paraId="3B25D014" w14:textId="77777777" w:rsidR="008A088B" w:rsidRPr="008A088B" w:rsidRDefault="008A088B" w:rsidP="008A088B">
            <w:pPr>
              <w:rPr>
                <w:rFonts w:ascii="Arial" w:hAnsi="Arial" w:cs="Arial"/>
                <w:b/>
                <w:bCs/>
                <w:sz w:val="20"/>
              </w:rPr>
            </w:pPr>
          </w:p>
          <w:p w14:paraId="34AC521A" w14:textId="77777777" w:rsidR="008A088B" w:rsidRPr="008A088B" w:rsidRDefault="008A088B" w:rsidP="008A088B">
            <w:pPr>
              <w:rPr>
                <w:rFonts w:ascii="Arial" w:hAnsi="Arial" w:cs="Arial"/>
                <w:b/>
                <w:bCs/>
                <w:sz w:val="20"/>
              </w:rPr>
            </w:pPr>
            <w:r w:rsidRPr="008A088B">
              <w:rPr>
                <w:rFonts w:ascii="Arial" w:hAnsi="Arial" w:cs="Arial"/>
                <w:b/>
                <w:bCs/>
                <w:sz w:val="20"/>
              </w:rPr>
              <w:t>Monitoring conditions:</w:t>
            </w:r>
          </w:p>
          <w:p w14:paraId="51D68A2F" w14:textId="77777777" w:rsidR="008A088B" w:rsidRPr="008A088B" w:rsidRDefault="008A088B" w:rsidP="008A088B">
            <w:pPr>
              <w:rPr>
                <w:rFonts w:ascii="Arial" w:hAnsi="Arial" w:cs="Arial"/>
                <w:sz w:val="20"/>
              </w:rPr>
            </w:pPr>
            <w:r w:rsidRPr="008A088B">
              <w:rPr>
                <w:rFonts w:ascii="Arial" w:hAnsi="Arial" w:cs="Arial"/>
                <w:sz w:val="20"/>
              </w:rPr>
              <w:t xml:space="preserve">Note that the guidance referenced in this syllabus is subject to change based on recommendations from the Georgia Department of Public Health, the University System of Georgia, or the Governor’s Office. For the latest on UGA policy, you can visit </w:t>
            </w:r>
            <w:hyperlink r:id="rId27" w:history="1">
              <w:r w:rsidRPr="008A088B">
                <w:rPr>
                  <w:rStyle w:val="Hyperlink"/>
                  <w:rFonts w:ascii="Arial" w:hAnsi="Arial" w:cs="Arial"/>
                  <w:sz w:val="20"/>
                </w:rPr>
                <w:t>coronavirus.uga.edu</w:t>
              </w:r>
            </w:hyperlink>
            <w:r w:rsidRPr="008A088B">
              <w:rPr>
                <w:rFonts w:ascii="Arial" w:hAnsi="Arial" w:cs="Arial"/>
                <w:sz w:val="20"/>
              </w:rPr>
              <w:t>.</w:t>
            </w:r>
          </w:p>
          <w:p w14:paraId="66EAB33E" w14:textId="3E222F4F" w:rsidR="00690F89" w:rsidRPr="00C2322F" w:rsidRDefault="00690F89" w:rsidP="00690F89">
            <w:pPr>
              <w:rPr>
                <w:rFonts w:ascii="Arial" w:hAnsi="Arial" w:cs="Arial"/>
                <w:sz w:val="10"/>
              </w:rPr>
            </w:pPr>
          </w:p>
        </w:tc>
      </w:tr>
      <w:tr w:rsidR="00884395" w:rsidRPr="00C2322F" w14:paraId="5604394C" w14:textId="77777777" w:rsidTr="00D76428">
        <w:tc>
          <w:tcPr>
            <w:tcW w:w="10340" w:type="dxa"/>
            <w:gridSpan w:val="4"/>
            <w:shd w:val="clear" w:color="auto" w:fill="auto"/>
          </w:tcPr>
          <w:p w14:paraId="49A83BA0" w14:textId="77777777" w:rsidR="00884395" w:rsidRPr="00C2322F" w:rsidRDefault="00884395" w:rsidP="00884395">
            <w:pPr>
              <w:rPr>
                <w:rFonts w:ascii="Arial" w:hAnsi="Arial" w:cs="Arial"/>
                <w:sz w:val="20"/>
              </w:rPr>
            </w:pPr>
          </w:p>
        </w:tc>
      </w:tr>
      <w:tr w:rsidR="00690F89" w:rsidRPr="00C2322F" w14:paraId="74B41844" w14:textId="77777777" w:rsidTr="00D76428">
        <w:tc>
          <w:tcPr>
            <w:tcW w:w="10340" w:type="dxa"/>
            <w:gridSpan w:val="4"/>
            <w:shd w:val="clear" w:color="auto" w:fill="auto"/>
          </w:tcPr>
          <w:p w14:paraId="3C6B1FEA" w14:textId="087F7D6E" w:rsidR="00690F89" w:rsidRPr="00C2322F" w:rsidRDefault="00690F89" w:rsidP="00690F89">
            <w:pPr>
              <w:jc w:val="center"/>
              <w:rPr>
                <w:rFonts w:ascii="Arial" w:hAnsi="Arial" w:cs="Arial"/>
                <w:i/>
                <w:sz w:val="18"/>
              </w:rPr>
            </w:pPr>
            <w:r w:rsidRPr="0006705C">
              <w:rPr>
                <w:rFonts w:ascii="Arial" w:hAnsi="Arial" w:cs="Arial"/>
                <w:b/>
                <w:sz w:val="20"/>
              </w:rPr>
              <w:t>Mental Health and Wellness Re</w:t>
            </w:r>
            <w:r>
              <w:rPr>
                <w:rFonts w:ascii="Arial" w:hAnsi="Arial" w:cs="Arial"/>
                <w:b/>
                <w:sz w:val="20"/>
              </w:rPr>
              <w:t>sources</w:t>
            </w:r>
          </w:p>
        </w:tc>
      </w:tr>
      <w:tr w:rsidR="00690F89" w:rsidRPr="00C2322F" w14:paraId="5FD5A0E4" w14:textId="77777777" w:rsidTr="00D76428">
        <w:trPr>
          <w:trHeight w:val="89"/>
        </w:trPr>
        <w:tc>
          <w:tcPr>
            <w:tcW w:w="10340" w:type="dxa"/>
            <w:gridSpan w:val="4"/>
            <w:shd w:val="clear" w:color="auto" w:fill="auto"/>
          </w:tcPr>
          <w:p w14:paraId="3C13D4C0" w14:textId="77777777" w:rsidR="00690F89" w:rsidRPr="00C2322F" w:rsidRDefault="00690F89" w:rsidP="00690F89">
            <w:pPr>
              <w:rPr>
                <w:rFonts w:ascii="Arial" w:hAnsi="Arial" w:cs="Arial"/>
                <w:sz w:val="10"/>
              </w:rPr>
            </w:pPr>
          </w:p>
        </w:tc>
      </w:tr>
      <w:tr w:rsidR="00690F89" w:rsidRPr="00C2322F" w14:paraId="4D1A955E" w14:textId="77777777" w:rsidTr="00D76428">
        <w:tc>
          <w:tcPr>
            <w:tcW w:w="10340" w:type="dxa"/>
            <w:gridSpan w:val="4"/>
            <w:shd w:val="clear" w:color="auto" w:fill="auto"/>
          </w:tcPr>
          <w:p w14:paraId="5AC5B352" w14:textId="77777777" w:rsidR="00690F89" w:rsidRPr="00C22D31" w:rsidRDefault="00690F89" w:rsidP="00690F89">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28"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6D7D3291" w14:textId="77777777" w:rsidR="00690F89" w:rsidRPr="00C22D31" w:rsidRDefault="00690F89" w:rsidP="00690F89">
            <w:pPr>
              <w:numPr>
                <w:ilvl w:val="0"/>
                <w:numId w:val="5"/>
              </w:numPr>
              <w:rPr>
                <w:rFonts w:ascii="Arial" w:hAnsi="Arial" w:cs="Arial"/>
                <w:sz w:val="20"/>
              </w:rPr>
            </w:pPr>
            <w:r w:rsidRPr="00C22D31">
              <w:rPr>
                <w:rFonts w:ascii="Arial" w:hAnsi="Arial" w:cs="Arial"/>
                <w:i/>
                <w:iCs/>
                <w:sz w:val="20"/>
              </w:rPr>
              <w:t>UGA has several resources for a student seeking mental health services (</w:t>
            </w:r>
            <w:hyperlink r:id="rId29"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30"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7709E673" w14:textId="77777777" w:rsidR="00690F89" w:rsidRPr="00C22D31" w:rsidRDefault="00690F89" w:rsidP="00690F89">
            <w:pPr>
              <w:numPr>
                <w:ilvl w:val="0"/>
                <w:numId w:val="5"/>
              </w:numPr>
              <w:rPr>
                <w:rFonts w:ascii="Arial" w:hAnsi="Arial" w:cs="Arial"/>
                <w:sz w:val="20"/>
              </w:rPr>
            </w:pPr>
            <w:r w:rsidRPr="00C22D31">
              <w:rPr>
                <w:rFonts w:ascii="Arial" w:hAnsi="Arial" w:cs="Arial"/>
                <w:i/>
                <w:iCs/>
                <w:sz w:val="20"/>
              </w:rPr>
              <w:t>If you need help managing stress anxiety, relationships, etc., please visit BeWellUGA (</w:t>
            </w:r>
            <w:hyperlink r:id="rId31"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218A2E2F" w14:textId="51DABAB2" w:rsidR="00690F89" w:rsidRPr="00C2322F" w:rsidRDefault="00690F89" w:rsidP="00690F89">
            <w:pPr>
              <w:rPr>
                <w:rFonts w:ascii="Arial" w:hAnsi="Arial" w:cs="Arial"/>
                <w:sz w:val="20"/>
              </w:rPr>
            </w:pPr>
            <w:r w:rsidRPr="00FE5457">
              <w:rPr>
                <w:rFonts w:ascii="Arial" w:hAnsi="Arial" w:cs="Arial"/>
                <w:i/>
                <w:iCs/>
                <w:sz w:val="20"/>
              </w:rPr>
              <w:t>Additional resources can be accessed through the UGA App.</w:t>
            </w:r>
          </w:p>
        </w:tc>
      </w:tr>
      <w:tr w:rsidR="00D6678E" w:rsidRPr="00C2322F" w14:paraId="4A5254B1" w14:textId="77777777" w:rsidTr="00D76428">
        <w:tc>
          <w:tcPr>
            <w:tcW w:w="10340" w:type="dxa"/>
            <w:gridSpan w:val="4"/>
            <w:shd w:val="clear" w:color="auto" w:fill="auto"/>
          </w:tcPr>
          <w:p w14:paraId="0FE11E41" w14:textId="77777777" w:rsidR="00D6678E" w:rsidRPr="00C2322F" w:rsidRDefault="00D6678E" w:rsidP="00884395">
            <w:pPr>
              <w:rPr>
                <w:rFonts w:ascii="Arial" w:hAnsi="Arial" w:cs="Arial"/>
                <w:sz w:val="20"/>
              </w:rPr>
            </w:pPr>
          </w:p>
        </w:tc>
      </w:tr>
      <w:tr w:rsidR="007C7C3F" w14:paraId="1F22AC6F" w14:textId="77777777" w:rsidTr="00943ED6">
        <w:tc>
          <w:tcPr>
            <w:tcW w:w="10340" w:type="dxa"/>
            <w:gridSpan w:val="4"/>
            <w:shd w:val="clear" w:color="auto" w:fill="auto"/>
          </w:tcPr>
          <w:p w14:paraId="5387E32A" w14:textId="77777777" w:rsidR="007C7C3F" w:rsidRDefault="007C7C3F" w:rsidP="00943ED6">
            <w:pPr>
              <w:jc w:val="center"/>
              <w:rPr>
                <w:rFonts w:ascii="Arial" w:hAnsi="Arial" w:cs="Arial"/>
                <w:b/>
                <w:sz w:val="20"/>
              </w:rPr>
            </w:pPr>
          </w:p>
        </w:tc>
      </w:tr>
      <w:tr w:rsidR="00D6678E" w14:paraId="30DCBDAB" w14:textId="77777777" w:rsidTr="00943ED6">
        <w:tc>
          <w:tcPr>
            <w:tcW w:w="10340" w:type="dxa"/>
            <w:gridSpan w:val="4"/>
            <w:shd w:val="clear" w:color="auto" w:fill="auto"/>
          </w:tcPr>
          <w:p w14:paraId="103DE090" w14:textId="77777777" w:rsidR="00D6678E" w:rsidRDefault="00D6678E" w:rsidP="00943ED6">
            <w:pPr>
              <w:jc w:val="center"/>
              <w:rPr>
                <w:rFonts w:ascii="Arial" w:hAnsi="Arial" w:cs="Arial"/>
                <w:b/>
                <w:sz w:val="20"/>
              </w:rPr>
            </w:pPr>
            <w:r>
              <w:rPr>
                <w:rFonts w:ascii="Arial" w:hAnsi="Arial" w:cs="Arial"/>
                <w:b/>
                <w:sz w:val="20"/>
              </w:rPr>
              <w:t>Syllabus as a Contract</w:t>
            </w:r>
          </w:p>
        </w:tc>
      </w:tr>
      <w:tr w:rsidR="00690F89" w:rsidRPr="006C6BF2" w14:paraId="04FB348E" w14:textId="77777777" w:rsidTr="00943ED6">
        <w:tc>
          <w:tcPr>
            <w:tcW w:w="10340" w:type="dxa"/>
            <w:gridSpan w:val="4"/>
            <w:shd w:val="clear" w:color="auto" w:fill="auto"/>
          </w:tcPr>
          <w:p w14:paraId="1F651C4B" w14:textId="62972888" w:rsidR="00690F89" w:rsidRPr="006C6BF2" w:rsidRDefault="00690F89" w:rsidP="00690F89">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D6678E" w14:paraId="29B1385C" w14:textId="77777777" w:rsidTr="00943ED6">
        <w:tc>
          <w:tcPr>
            <w:tcW w:w="10340" w:type="dxa"/>
            <w:gridSpan w:val="4"/>
            <w:shd w:val="clear" w:color="auto" w:fill="auto"/>
          </w:tcPr>
          <w:p w14:paraId="341BCDC1" w14:textId="77777777" w:rsidR="00D6678E" w:rsidRDefault="00D6678E" w:rsidP="00943ED6">
            <w:pPr>
              <w:jc w:val="center"/>
              <w:rPr>
                <w:rFonts w:ascii="Arial" w:hAnsi="Arial" w:cs="Arial"/>
                <w:b/>
                <w:sz w:val="20"/>
              </w:rPr>
            </w:pPr>
          </w:p>
        </w:tc>
      </w:tr>
      <w:tr w:rsidR="00690F89" w:rsidRPr="00B0295F" w14:paraId="4150B813" w14:textId="77777777" w:rsidTr="00943ED6">
        <w:tc>
          <w:tcPr>
            <w:tcW w:w="10340" w:type="dxa"/>
            <w:gridSpan w:val="4"/>
            <w:shd w:val="clear" w:color="auto" w:fill="auto"/>
          </w:tcPr>
          <w:p w14:paraId="0ECBF3B2" w14:textId="395A0DF4" w:rsidR="00690F89" w:rsidRPr="00B0295F" w:rsidRDefault="00690F89" w:rsidP="00690F89">
            <w:pPr>
              <w:jc w:val="center"/>
              <w:rPr>
                <w:rFonts w:ascii="Arial" w:hAnsi="Arial" w:cs="Arial"/>
                <w:b/>
                <w:sz w:val="20"/>
              </w:rPr>
            </w:pPr>
            <w:r>
              <w:rPr>
                <w:rFonts w:ascii="Arial" w:hAnsi="Arial" w:cs="Arial"/>
                <w:b/>
                <w:sz w:val="20"/>
              </w:rPr>
              <w:t>A Word of Thanks</w:t>
            </w:r>
          </w:p>
        </w:tc>
      </w:tr>
      <w:tr w:rsidR="00690F89" w:rsidRPr="00B0295F" w14:paraId="16EA60A2" w14:textId="77777777" w:rsidTr="00943ED6">
        <w:tc>
          <w:tcPr>
            <w:tcW w:w="10340" w:type="dxa"/>
            <w:gridSpan w:val="4"/>
            <w:shd w:val="clear" w:color="auto" w:fill="auto"/>
          </w:tcPr>
          <w:p w14:paraId="0994866B" w14:textId="77777777" w:rsidR="00690F89" w:rsidRDefault="00690F89" w:rsidP="00690F89">
            <w:pPr>
              <w:rPr>
                <w:rFonts w:ascii="Arial" w:hAnsi="Arial" w:cs="Arial"/>
                <w:sz w:val="20"/>
              </w:rPr>
            </w:pPr>
            <w:r>
              <w:rPr>
                <w:rFonts w:ascii="Arial" w:hAnsi="Arial" w:cs="Arial"/>
                <w:sz w:val="20"/>
              </w:rPr>
              <w:t>Teaching is a difficult task, and even the creation of a course syllabus is difficult. I appreciate the help of all of my colleagues who have helped me along the way: Joseph Ura, John Robertson, Nicholas Conway, Todd Curry, Grier Stephenson, and Teena Wilhelm. I am also grateful to the students of previous courses whose feedback has helped me improve this syllabus.</w:t>
            </w:r>
          </w:p>
          <w:p w14:paraId="21F56721" w14:textId="77777777" w:rsidR="00690F89" w:rsidRDefault="00690F89" w:rsidP="00690F89">
            <w:pPr>
              <w:rPr>
                <w:rFonts w:ascii="Arial" w:hAnsi="Arial" w:cs="Arial"/>
                <w:sz w:val="20"/>
              </w:rPr>
            </w:pPr>
          </w:p>
          <w:p w14:paraId="7B5F6D20" w14:textId="5E820F90" w:rsidR="00690F89" w:rsidRPr="00B0295F" w:rsidRDefault="00690F89" w:rsidP="00690F89">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 This includes lecture material; all recordings are prohibited.</w:t>
            </w:r>
          </w:p>
        </w:tc>
      </w:tr>
      <w:tr w:rsidR="00D6678E" w:rsidRPr="00C2322F" w14:paraId="1F15F153" w14:textId="77777777" w:rsidTr="00D76428">
        <w:tc>
          <w:tcPr>
            <w:tcW w:w="10340" w:type="dxa"/>
            <w:gridSpan w:val="4"/>
            <w:shd w:val="clear" w:color="auto" w:fill="auto"/>
          </w:tcPr>
          <w:p w14:paraId="3889F201" w14:textId="77777777" w:rsidR="00D6678E" w:rsidRDefault="00D6678E" w:rsidP="00B0295F">
            <w:pPr>
              <w:jc w:val="center"/>
              <w:rPr>
                <w:rFonts w:ascii="Arial" w:hAnsi="Arial" w:cs="Arial"/>
                <w:b/>
                <w:sz w:val="20"/>
              </w:rPr>
            </w:pPr>
          </w:p>
        </w:tc>
      </w:tr>
    </w:tbl>
    <w:p w14:paraId="27D7B247" w14:textId="77777777" w:rsidR="00D6678E" w:rsidRDefault="00D6678E"/>
    <w:p w14:paraId="18DF1F51" w14:textId="77777777" w:rsidR="00D6678E" w:rsidRDefault="00D6678E">
      <w:r>
        <w:br w:type="page"/>
      </w:r>
    </w:p>
    <w:tbl>
      <w:tblPr>
        <w:tblW w:w="10340" w:type="dxa"/>
        <w:tblLayout w:type="fixed"/>
        <w:tblLook w:val="00A0" w:firstRow="1" w:lastRow="0" w:firstColumn="1" w:lastColumn="0" w:noHBand="0" w:noVBand="0"/>
      </w:tblPr>
      <w:tblGrid>
        <w:gridCol w:w="10340"/>
      </w:tblGrid>
      <w:tr w:rsidR="003E4A55" w:rsidRPr="00C2322F" w14:paraId="7DEECB41" w14:textId="77777777" w:rsidTr="00D76428">
        <w:tc>
          <w:tcPr>
            <w:tcW w:w="10340" w:type="dxa"/>
            <w:shd w:val="clear" w:color="auto" w:fill="auto"/>
          </w:tcPr>
          <w:p w14:paraId="2336482A" w14:textId="77777777" w:rsidR="003E4A55" w:rsidRDefault="003E4A55" w:rsidP="003E4A55">
            <w:pPr>
              <w:jc w:val="center"/>
              <w:rPr>
                <w:rFonts w:ascii="Arial" w:hAnsi="Arial" w:cs="Arial"/>
                <w:b/>
                <w:sz w:val="20"/>
              </w:rPr>
            </w:pPr>
            <w:r>
              <w:rPr>
                <w:rFonts w:ascii="Arial" w:hAnsi="Arial" w:cs="Arial"/>
                <w:b/>
                <w:sz w:val="20"/>
              </w:rPr>
              <w:lastRenderedPageBreak/>
              <w:t>Expected Course Calendar</w:t>
            </w:r>
          </w:p>
          <w:p w14:paraId="08A35B36" w14:textId="747B3797" w:rsidR="003E4A55" w:rsidRPr="00C2322F" w:rsidRDefault="003E4A55" w:rsidP="003E4A55">
            <w:pPr>
              <w:jc w:val="center"/>
              <w:rPr>
                <w:rFonts w:ascii="Arial" w:hAnsi="Arial" w:cs="Arial"/>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3AFC35EC" w14:textId="5AEB8406" w:rsidR="00B0295F" w:rsidRPr="00A16AB6" w:rsidRDefault="00B0295F" w:rsidP="00B0295F">
            <w:pPr>
              <w:rPr>
                <w:rFonts w:ascii="Arial" w:hAnsi="Arial" w:cs="Arial"/>
                <w:b/>
                <w:sz w:val="20"/>
              </w:rPr>
            </w:pPr>
            <w:r w:rsidRPr="00A16AB6">
              <w:rPr>
                <w:rFonts w:ascii="Arial" w:hAnsi="Arial" w:cs="Arial"/>
                <w:b/>
                <w:sz w:val="20"/>
              </w:rPr>
              <w:t xml:space="preserve">Week </w:t>
            </w:r>
            <w:r w:rsidR="003E4A55">
              <w:rPr>
                <w:rFonts w:ascii="Arial" w:hAnsi="Arial" w:cs="Arial"/>
                <w:b/>
                <w:sz w:val="20"/>
              </w:rPr>
              <w:t>2</w:t>
            </w:r>
            <w:r w:rsidRPr="00A16AB6">
              <w:rPr>
                <w:rFonts w:ascii="Arial" w:hAnsi="Arial" w:cs="Arial"/>
                <w:b/>
                <w:sz w:val="20"/>
              </w:rPr>
              <w:t>:</w:t>
            </w:r>
            <w:r>
              <w:rPr>
                <w:rFonts w:ascii="Arial" w:hAnsi="Arial" w:cs="Arial"/>
                <w:b/>
                <w:sz w:val="20"/>
              </w:rPr>
              <w:t xml:space="preserve"> Basics of Constitutional Law</w:t>
            </w:r>
            <w:r w:rsidR="00BB48B0">
              <w:rPr>
                <w:rFonts w:ascii="Arial" w:hAnsi="Arial" w:cs="Arial"/>
                <w:b/>
                <w:sz w:val="20"/>
              </w:rPr>
              <w:t xml:space="preserve"> – Chapter 1</w:t>
            </w:r>
          </w:p>
          <w:p w14:paraId="30E37D7E" w14:textId="3C438EF3" w:rsidR="005565CB" w:rsidRPr="00A16AB6" w:rsidRDefault="00B0295F" w:rsidP="005565CB">
            <w:pPr>
              <w:rPr>
                <w:rFonts w:ascii="Arial" w:hAnsi="Arial" w:cs="Arial"/>
                <w:b/>
                <w:sz w:val="20"/>
              </w:rPr>
            </w:pPr>
            <w:r>
              <w:rPr>
                <w:rFonts w:ascii="Arial" w:hAnsi="Arial" w:cs="Arial"/>
                <w:sz w:val="20"/>
              </w:rPr>
              <w:br/>
            </w:r>
            <w:r w:rsidR="005565CB" w:rsidRPr="00A16AB6">
              <w:rPr>
                <w:rFonts w:ascii="Arial" w:hAnsi="Arial" w:cs="Arial"/>
                <w:b/>
                <w:sz w:val="20"/>
              </w:rPr>
              <w:t xml:space="preserve">Week </w:t>
            </w:r>
            <w:r w:rsidR="003E4A55">
              <w:rPr>
                <w:rFonts w:ascii="Arial" w:hAnsi="Arial" w:cs="Arial"/>
                <w:b/>
                <w:sz w:val="20"/>
              </w:rPr>
              <w:t>3</w:t>
            </w:r>
            <w:r w:rsidR="005565CB" w:rsidRPr="00A16AB6">
              <w:rPr>
                <w:rFonts w:ascii="Arial" w:hAnsi="Arial" w:cs="Arial"/>
                <w:b/>
                <w:sz w:val="20"/>
              </w:rPr>
              <w:t>: Judicial Review and Incorporation</w:t>
            </w:r>
            <w:r w:rsidR="00BB48B0">
              <w:rPr>
                <w:rFonts w:ascii="Arial" w:hAnsi="Arial" w:cs="Arial"/>
                <w:b/>
                <w:sz w:val="20"/>
              </w:rPr>
              <w:t xml:space="preserve"> – Chapter 2-3</w:t>
            </w:r>
          </w:p>
          <w:p w14:paraId="225209F1" w14:textId="7175D5EE" w:rsidR="005565CB" w:rsidRDefault="005565CB" w:rsidP="005565CB">
            <w:pPr>
              <w:rPr>
                <w:rFonts w:ascii="Arial" w:hAnsi="Arial" w:cs="Arial"/>
                <w:sz w:val="20"/>
              </w:rPr>
            </w:pPr>
            <w:r>
              <w:rPr>
                <w:rFonts w:ascii="Arial" w:hAnsi="Arial" w:cs="Arial"/>
                <w:sz w:val="20"/>
              </w:rPr>
              <w:t xml:space="preserve">Cases: </w:t>
            </w:r>
            <w:r w:rsidRPr="004E61E2">
              <w:rPr>
                <w:rFonts w:ascii="Arial" w:hAnsi="Arial" w:cs="Arial"/>
                <w:i/>
                <w:sz w:val="20"/>
              </w:rPr>
              <w:t xml:space="preserve">Marbury v. Madison; </w:t>
            </w:r>
            <w:r w:rsidR="008B1E35">
              <w:rPr>
                <w:rFonts w:ascii="Arial" w:hAnsi="Arial" w:cs="Arial"/>
                <w:i/>
                <w:sz w:val="20"/>
              </w:rPr>
              <w:t>Martin v. Hunter’s Lessee</w:t>
            </w:r>
            <w:r w:rsidRPr="004E61E2">
              <w:rPr>
                <w:rFonts w:ascii="Arial" w:hAnsi="Arial" w:cs="Arial"/>
                <w:i/>
                <w:sz w:val="20"/>
              </w:rPr>
              <w:t xml:space="preserve">; Barron v. Baltimore; </w:t>
            </w:r>
            <w:r w:rsidR="00BE77BB">
              <w:rPr>
                <w:rFonts w:ascii="Arial" w:hAnsi="Arial" w:cs="Arial"/>
                <w:i/>
                <w:sz w:val="20"/>
              </w:rPr>
              <w:t xml:space="preserve">United States v. Cruikshank; </w:t>
            </w:r>
            <w:r w:rsidRPr="004E61E2">
              <w:rPr>
                <w:rFonts w:ascii="Arial" w:hAnsi="Arial" w:cs="Arial"/>
                <w:i/>
                <w:sz w:val="20"/>
              </w:rPr>
              <w:t>Hurtado v. California; Palko v. Connecticut; Duncan v. Louisiana</w:t>
            </w:r>
          </w:p>
          <w:p w14:paraId="40541ABF" w14:textId="77777777" w:rsidR="005565CB" w:rsidRDefault="005565CB" w:rsidP="005565CB">
            <w:pPr>
              <w:rPr>
                <w:rFonts w:ascii="Arial" w:hAnsi="Arial" w:cs="Arial"/>
                <w:sz w:val="20"/>
              </w:rPr>
            </w:pPr>
          </w:p>
          <w:p w14:paraId="7592F410" w14:textId="6ECD041F" w:rsidR="005565CB" w:rsidRDefault="005565CB" w:rsidP="005565CB">
            <w:pPr>
              <w:rPr>
                <w:rFonts w:ascii="Arial" w:hAnsi="Arial" w:cs="Arial"/>
                <w:b/>
                <w:sz w:val="20"/>
              </w:rPr>
            </w:pPr>
            <w:r>
              <w:rPr>
                <w:rFonts w:ascii="Arial" w:hAnsi="Arial" w:cs="Arial"/>
                <w:b/>
                <w:sz w:val="20"/>
              </w:rPr>
              <w:t xml:space="preserve">Week </w:t>
            </w:r>
            <w:r w:rsidR="003E4A55">
              <w:rPr>
                <w:rFonts w:ascii="Arial" w:hAnsi="Arial" w:cs="Arial"/>
                <w:b/>
                <w:sz w:val="20"/>
              </w:rPr>
              <w:t>4</w:t>
            </w:r>
            <w:r w:rsidRPr="00CB762A">
              <w:rPr>
                <w:rFonts w:ascii="Arial" w:hAnsi="Arial" w:cs="Arial"/>
                <w:b/>
                <w:sz w:val="20"/>
              </w:rPr>
              <w:t>:</w:t>
            </w:r>
            <w:r>
              <w:rPr>
                <w:rFonts w:ascii="Arial" w:hAnsi="Arial" w:cs="Arial"/>
                <w:b/>
                <w:sz w:val="20"/>
              </w:rPr>
              <w:t xml:space="preserve"> Establishment of Religion</w:t>
            </w:r>
            <w:r w:rsidR="00BB48B0">
              <w:rPr>
                <w:rFonts w:ascii="Arial" w:hAnsi="Arial" w:cs="Arial"/>
                <w:b/>
                <w:sz w:val="20"/>
              </w:rPr>
              <w:t xml:space="preserve"> – Chapter 4</w:t>
            </w:r>
          </w:p>
          <w:p w14:paraId="21AA127C" w14:textId="77777777" w:rsidR="005565CB" w:rsidRPr="00CB762A" w:rsidRDefault="005565CB" w:rsidP="005565CB">
            <w:pPr>
              <w:rPr>
                <w:rFonts w:ascii="Arial" w:hAnsi="Arial" w:cs="Arial"/>
                <w:sz w:val="20"/>
              </w:rPr>
            </w:pPr>
            <w:r>
              <w:rPr>
                <w:rFonts w:ascii="Arial" w:hAnsi="Arial" w:cs="Arial"/>
                <w:sz w:val="20"/>
              </w:rPr>
              <w:t xml:space="preserve">Cases: </w:t>
            </w:r>
            <w:r w:rsidRPr="004E61E2">
              <w:rPr>
                <w:rFonts w:ascii="Arial" w:hAnsi="Arial" w:cs="Arial"/>
                <w:i/>
                <w:sz w:val="20"/>
              </w:rPr>
              <w:t>Everson v. Board of Education; School District of Abington Township v. Schempp; Lemon v. Kurtzman; Edwards v. Aguillard; Lee v. Weisman; Van Orden v. Perry</w:t>
            </w:r>
          </w:p>
          <w:p w14:paraId="1493DE84" w14:textId="77777777" w:rsidR="005565CB" w:rsidRDefault="005565CB" w:rsidP="005565CB">
            <w:pPr>
              <w:rPr>
                <w:rFonts w:ascii="Arial" w:hAnsi="Arial" w:cs="Arial"/>
                <w:sz w:val="20"/>
              </w:rPr>
            </w:pPr>
          </w:p>
          <w:p w14:paraId="07CC1BAA" w14:textId="61CA2BD3" w:rsidR="005565CB" w:rsidRDefault="005565CB" w:rsidP="005565CB">
            <w:pPr>
              <w:rPr>
                <w:rFonts w:ascii="Arial" w:hAnsi="Arial" w:cs="Arial"/>
                <w:b/>
                <w:sz w:val="20"/>
              </w:rPr>
            </w:pPr>
            <w:r>
              <w:rPr>
                <w:rFonts w:ascii="Arial" w:hAnsi="Arial" w:cs="Arial"/>
                <w:b/>
                <w:sz w:val="20"/>
              </w:rPr>
              <w:t xml:space="preserve">Week </w:t>
            </w:r>
            <w:r w:rsidR="003E4A55">
              <w:rPr>
                <w:rFonts w:ascii="Arial" w:hAnsi="Arial" w:cs="Arial"/>
                <w:b/>
                <w:sz w:val="20"/>
              </w:rPr>
              <w:t>5</w:t>
            </w:r>
            <w:r w:rsidRPr="00CB762A">
              <w:rPr>
                <w:rFonts w:ascii="Arial" w:hAnsi="Arial" w:cs="Arial"/>
                <w:b/>
                <w:sz w:val="20"/>
              </w:rPr>
              <w:t>:</w:t>
            </w:r>
            <w:r>
              <w:rPr>
                <w:rFonts w:ascii="Arial" w:hAnsi="Arial" w:cs="Arial"/>
                <w:b/>
                <w:sz w:val="20"/>
              </w:rPr>
              <w:t xml:space="preserve"> Free Exercise of Religion and </w:t>
            </w:r>
            <w:r w:rsidR="00CF247E">
              <w:rPr>
                <w:rFonts w:ascii="Arial" w:hAnsi="Arial" w:cs="Arial"/>
                <w:b/>
                <w:sz w:val="20"/>
              </w:rPr>
              <w:t>Freedom of Speech, Part 1</w:t>
            </w:r>
            <w:r w:rsidR="00BB48B0">
              <w:rPr>
                <w:rFonts w:ascii="Arial" w:hAnsi="Arial" w:cs="Arial"/>
                <w:b/>
                <w:sz w:val="20"/>
              </w:rPr>
              <w:t xml:space="preserve"> – Chapters 4-5</w:t>
            </w:r>
          </w:p>
          <w:p w14:paraId="7E42D10B" w14:textId="77777777" w:rsidR="00754925" w:rsidRPr="00CB762A" w:rsidRDefault="005565CB" w:rsidP="00754925">
            <w:pPr>
              <w:rPr>
                <w:rFonts w:ascii="Arial" w:hAnsi="Arial" w:cs="Arial"/>
                <w:sz w:val="20"/>
              </w:rPr>
            </w:pPr>
            <w:r>
              <w:rPr>
                <w:rFonts w:ascii="Arial" w:hAnsi="Arial" w:cs="Arial"/>
                <w:sz w:val="20"/>
              </w:rPr>
              <w:t xml:space="preserve">Cases: </w:t>
            </w:r>
            <w:r w:rsidRPr="004E61E2">
              <w:rPr>
                <w:rFonts w:ascii="Arial" w:hAnsi="Arial" w:cs="Arial"/>
                <w:i/>
                <w:sz w:val="20"/>
              </w:rPr>
              <w:t xml:space="preserve">Cantwell v. Connecticut; Sherbert v. Verner; Wisconsin v. Yoder; Employment Division, Department of Human Services of Oregon v. Smith; City of Boerne v. Flores; </w:t>
            </w:r>
            <w:r w:rsidR="00754925" w:rsidRPr="004E61E2">
              <w:rPr>
                <w:rFonts w:ascii="Arial" w:hAnsi="Arial" w:cs="Arial"/>
                <w:i/>
                <w:sz w:val="20"/>
              </w:rPr>
              <w:t>Schenck v. United States; Gitlow v. New York</w:t>
            </w:r>
          </w:p>
          <w:p w14:paraId="5DE5900B" w14:textId="77777777" w:rsidR="005565CB" w:rsidRDefault="005565CB" w:rsidP="005565CB">
            <w:pPr>
              <w:rPr>
                <w:rFonts w:ascii="Arial" w:hAnsi="Arial" w:cs="Arial"/>
                <w:sz w:val="20"/>
              </w:rPr>
            </w:pPr>
          </w:p>
          <w:p w14:paraId="4AD3E018" w14:textId="37D631CB" w:rsidR="005565CB" w:rsidRDefault="005565CB" w:rsidP="005565CB">
            <w:pPr>
              <w:rPr>
                <w:rFonts w:ascii="Arial" w:hAnsi="Arial" w:cs="Arial"/>
                <w:b/>
                <w:sz w:val="20"/>
              </w:rPr>
            </w:pPr>
            <w:r w:rsidRPr="00CB762A">
              <w:rPr>
                <w:rFonts w:ascii="Arial" w:hAnsi="Arial" w:cs="Arial"/>
                <w:b/>
                <w:sz w:val="20"/>
              </w:rPr>
              <w:t>Week</w:t>
            </w:r>
            <w:r>
              <w:rPr>
                <w:rFonts w:ascii="Arial" w:hAnsi="Arial" w:cs="Arial"/>
                <w:b/>
                <w:sz w:val="20"/>
              </w:rPr>
              <w:t xml:space="preserve"> </w:t>
            </w:r>
            <w:r w:rsidR="003E4A55">
              <w:rPr>
                <w:rFonts w:ascii="Arial" w:hAnsi="Arial" w:cs="Arial"/>
                <w:b/>
                <w:sz w:val="20"/>
              </w:rPr>
              <w:t>6</w:t>
            </w:r>
            <w:r w:rsidRPr="00CB762A">
              <w:rPr>
                <w:rFonts w:ascii="Arial" w:hAnsi="Arial" w:cs="Arial"/>
                <w:b/>
                <w:sz w:val="20"/>
              </w:rPr>
              <w:t>: Freedom of Speech</w:t>
            </w:r>
            <w:r w:rsidR="00BD0806">
              <w:rPr>
                <w:rFonts w:ascii="Arial" w:hAnsi="Arial" w:cs="Arial"/>
                <w:b/>
                <w:sz w:val="20"/>
              </w:rPr>
              <w:t>, Part 2</w:t>
            </w:r>
            <w:r w:rsidR="00BB48B0">
              <w:rPr>
                <w:rFonts w:ascii="Arial" w:hAnsi="Arial" w:cs="Arial"/>
                <w:b/>
                <w:sz w:val="20"/>
              </w:rPr>
              <w:t xml:space="preserve"> – Chapter 5</w:t>
            </w:r>
          </w:p>
          <w:p w14:paraId="3D48DA5A" w14:textId="71540AE0" w:rsidR="005565CB" w:rsidRPr="008351FE" w:rsidRDefault="005565CB" w:rsidP="005565CB">
            <w:pPr>
              <w:rPr>
                <w:rFonts w:ascii="Arial" w:hAnsi="Arial" w:cs="Arial"/>
                <w:sz w:val="20"/>
              </w:rPr>
            </w:pPr>
            <w:r>
              <w:rPr>
                <w:rFonts w:ascii="Arial" w:hAnsi="Arial" w:cs="Arial"/>
                <w:sz w:val="20"/>
              </w:rPr>
              <w:t xml:space="preserve">Cases: </w:t>
            </w:r>
            <w:r w:rsidR="00CF247E" w:rsidRPr="004E61E2">
              <w:rPr>
                <w:rFonts w:ascii="Arial" w:hAnsi="Arial" w:cs="Arial"/>
                <w:i/>
                <w:sz w:val="20"/>
              </w:rPr>
              <w:t>Dennis v. United States; Brandenburg v. Ohio; Texas v. Johnson</w:t>
            </w:r>
            <w:r w:rsidR="00CF247E">
              <w:rPr>
                <w:rFonts w:ascii="Arial" w:hAnsi="Arial" w:cs="Arial"/>
                <w:i/>
                <w:sz w:val="20"/>
              </w:rPr>
              <w:t xml:space="preserve">; </w:t>
            </w:r>
            <w:r w:rsidRPr="004E61E2">
              <w:rPr>
                <w:rFonts w:ascii="Arial" w:hAnsi="Arial" w:cs="Arial"/>
                <w:i/>
                <w:sz w:val="20"/>
              </w:rPr>
              <w:t>West Virginia State Board of Education v. Barnette; Tinker v. Des Moines Independent Community School District; Morse v. Frederick; New York v. Ferber</w:t>
            </w:r>
            <w:r>
              <w:rPr>
                <w:rFonts w:ascii="Arial" w:hAnsi="Arial" w:cs="Arial"/>
                <w:i/>
                <w:sz w:val="20"/>
              </w:rPr>
              <w:t>;</w:t>
            </w:r>
            <w:r w:rsidRPr="00530B71">
              <w:rPr>
                <w:rFonts w:ascii="Arial" w:hAnsi="Arial" w:cs="Arial"/>
                <w:i/>
                <w:sz w:val="20"/>
              </w:rPr>
              <w:t xml:space="preserve"> </w:t>
            </w:r>
            <w:r w:rsidRPr="004E61E2">
              <w:rPr>
                <w:rFonts w:ascii="Arial" w:hAnsi="Arial" w:cs="Arial"/>
                <w:i/>
                <w:sz w:val="20"/>
              </w:rPr>
              <w:t>Miller v. California; R.A.V.</w:t>
            </w:r>
            <w:r>
              <w:rPr>
                <w:rFonts w:ascii="Arial" w:hAnsi="Arial" w:cs="Arial"/>
                <w:i/>
                <w:sz w:val="20"/>
              </w:rPr>
              <w:t xml:space="preserve"> v. City of St. Paul, Minnesota</w:t>
            </w:r>
          </w:p>
          <w:p w14:paraId="2EED7C2C" w14:textId="77777777" w:rsidR="005565CB" w:rsidRDefault="005565CB" w:rsidP="005565CB">
            <w:pPr>
              <w:rPr>
                <w:rFonts w:ascii="Arial" w:hAnsi="Arial" w:cs="Arial"/>
                <w:sz w:val="20"/>
              </w:rPr>
            </w:pPr>
          </w:p>
          <w:p w14:paraId="67C176C7" w14:textId="6C311028" w:rsidR="005565CB" w:rsidRPr="008351FE" w:rsidRDefault="005565CB" w:rsidP="005565CB">
            <w:pPr>
              <w:rPr>
                <w:rFonts w:ascii="Arial" w:hAnsi="Arial" w:cs="Arial"/>
                <w:b/>
                <w:sz w:val="20"/>
              </w:rPr>
            </w:pPr>
            <w:r>
              <w:rPr>
                <w:rFonts w:ascii="Arial" w:hAnsi="Arial" w:cs="Arial"/>
                <w:b/>
                <w:sz w:val="20"/>
              </w:rPr>
              <w:t xml:space="preserve">Week </w:t>
            </w:r>
            <w:r w:rsidR="003E4A55">
              <w:rPr>
                <w:rFonts w:ascii="Arial" w:hAnsi="Arial" w:cs="Arial"/>
                <w:b/>
                <w:sz w:val="20"/>
              </w:rPr>
              <w:t>7</w:t>
            </w:r>
            <w:r w:rsidRPr="008351FE">
              <w:rPr>
                <w:rFonts w:ascii="Arial" w:hAnsi="Arial" w:cs="Arial"/>
                <w:b/>
                <w:sz w:val="20"/>
              </w:rPr>
              <w:t>: Freedom of the Press</w:t>
            </w:r>
            <w:r w:rsidR="00BB48B0">
              <w:rPr>
                <w:rFonts w:ascii="Arial" w:hAnsi="Arial" w:cs="Arial"/>
                <w:b/>
                <w:sz w:val="20"/>
              </w:rPr>
              <w:t xml:space="preserve"> – Chapter 6-7</w:t>
            </w:r>
          </w:p>
          <w:p w14:paraId="03F6A57C" w14:textId="14D2E149" w:rsidR="005565CB" w:rsidRDefault="005565CB" w:rsidP="005565CB">
            <w:pPr>
              <w:rPr>
                <w:rFonts w:ascii="Arial" w:hAnsi="Arial" w:cs="Arial"/>
                <w:i/>
                <w:sz w:val="20"/>
              </w:rPr>
            </w:pPr>
            <w:r>
              <w:rPr>
                <w:rFonts w:ascii="Arial" w:hAnsi="Arial" w:cs="Arial"/>
                <w:sz w:val="20"/>
              </w:rPr>
              <w:t xml:space="preserve">Cases: </w:t>
            </w:r>
            <w:r w:rsidRPr="004E61E2">
              <w:rPr>
                <w:rFonts w:ascii="Arial" w:hAnsi="Arial" w:cs="Arial"/>
                <w:i/>
                <w:sz w:val="20"/>
              </w:rPr>
              <w:t>Near v. Minnesota; New York Times v. United States; New York Times v. Sullivan;</w:t>
            </w:r>
            <w:r w:rsidRPr="00530B71">
              <w:rPr>
                <w:rFonts w:ascii="Arial" w:hAnsi="Arial" w:cs="Arial"/>
                <w:i/>
                <w:sz w:val="20"/>
              </w:rPr>
              <w:t xml:space="preserve"> </w:t>
            </w:r>
            <w:r w:rsidRPr="004E61E2">
              <w:rPr>
                <w:rFonts w:ascii="Arial" w:hAnsi="Arial" w:cs="Arial"/>
                <w:i/>
                <w:sz w:val="20"/>
              </w:rPr>
              <w:t>Branzbur</w:t>
            </w:r>
            <w:r>
              <w:rPr>
                <w:rFonts w:ascii="Arial" w:hAnsi="Arial" w:cs="Arial"/>
                <w:i/>
                <w:sz w:val="20"/>
              </w:rPr>
              <w:t>g v. Hayes;</w:t>
            </w:r>
            <w:r w:rsidRPr="004E61E2">
              <w:rPr>
                <w:rFonts w:ascii="Arial" w:hAnsi="Arial" w:cs="Arial"/>
                <w:i/>
                <w:sz w:val="20"/>
              </w:rPr>
              <w:t xml:space="preserve"> Hazelwood School District v. Kuhlmeier; Hustler Magazine v. Falwell</w:t>
            </w:r>
          </w:p>
          <w:p w14:paraId="79197CDE" w14:textId="40322E7C" w:rsidR="00BE77BB" w:rsidRDefault="00BE77BB" w:rsidP="005565CB">
            <w:pPr>
              <w:rPr>
                <w:rFonts w:ascii="Arial" w:hAnsi="Arial" w:cs="Arial"/>
                <w:i/>
                <w:sz w:val="20"/>
              </w:rPr>
            </w:pPr>
          </w:p>
          <w:p w14:paraId="602E1AD8" w14:textId="5BAECFC6" w:rsidR="00754925" w:rsidRPr="00754925" w:rsidRDefault="00754925" w:rsidP="005565CB">
            <w:pPr>
              <w:rPr>
                <w:rFonts w:ascii="Arial" w:hAnsi="Arial" w:cs="Arial"/>
                <w:b/>
                <w:bCs/>
                <w:iCs/>
                <w:sz w:val="20"/>
              </w:rPr>
            </w:pPr>
            <w:r>
              <w:rPr>
                <w:rFonts w:ascii="Arial" w:hAnsi="Arial" w:cs="Arial"/>
                <w:b/>
                <w:bCs/>
                <w:iCs/>
                <w:sz w:val="20"/>
              </w:rPr>
              <w:t xml:space="preserve">Week </w:t>
            </w:r>
            <w:r w:rsidR="003E4A55">
              <w:rPr>
                <w:rFonts w:ascii="Arial" w:hAnsi="Arial" w:cs="Arial"/>
                <w:b/>
                <w:bCs/>
                <w:iCs/>
                <w:sz w:val="20"/>
              </w:rPr>
              <w:t>8</w:t>
            </w:r>
            <w:r>
              <w:rPr>
                <w:rFonts w:ascii="Arial" w:hAnsi="Arial" w:cs="Arial"/>
                <w:b/>
                <w:bCs/>
                <w:iCs/>
                <w:sz w:val="20"/>
              </w:rPr>
              <w:t>: Freedom of Assembly, Association, and the Second Amendment</w:t>
            </w:r>
            <w:r w:rsidR="00BB48B0">
              <w:rPr>
                <w:rFonts w:ascii="Arial" w:hAnsi="Arial" w:cs="Arial"/>
                <w:b/>
                <w:bCs/>
                <w:iCs/>
                <w:sz w:val="20"/>
              </w:rPr>
              <w:t xml:space="preserve"> – Chapters 8, 5</w:t>
            </w:r>
          </w:p>
          <w:p w14:paraId="2BBCD847" w14:textId="6BB64231" w:rsidR="005565CB" w:rsidRDefault="00BB48B0" w:rsidP="005565CB">
            <w:pPr>
              <w:rPr>
                <w:rFonts w:ascii="Arial" w:hAnsi="Arial" w:cs="Arial"/>
                <w:i/>
                <w:sz w:val="20"/>
              </w:rPr>
            </w:pPr>
            <w:r>
              <w:rPr>
                <w:rFonts w:ascii="Arial" w:hAnsi="Arial" w:cs="Arial"/>
                <w:iCs/>
                <w:sz w:val="20"/>
              </w:rPr>
              <w:t xml:space="preserve">Cases: </w:t>
            </w:r>
            <w:r w:rsidR="004F321B" w:rsidRPr="00BB48B0">
              <w:rPr>
                <w:rFonts w:ascii="Arial" w:hAnsi="Arial" w:cs="Arial"/>
                <w:i/>
                <w:sz w:val="20"/>
              </w:rPr>
              <w:t xml:space="preserve">Hague v. Committee for Industrial Organization; Gregory v. City of Chicago; </w:t>
            </w:r>
            <w:r w:rsidR="00C44D48" w:rsidRPr="00BB48B0">
              <w:rPr>
                <w:rFonts w:ascii="Arial" w:hAnsi="Arial" w:cs="Arial"/>
                <w:i/>
                <w:sz w:val="20"/>
              </w:rPr>
              <w:t>Snyder v. Phelps</w:t>
            </w:r>
            <w:r w:rsidR="00CF247E" w:rsidRPr="00BB48B0">
              <w:rPr>
                <w:rFonts w:ascii="Arial" w:hAnsi="Arial" w:cs="Arial"/>
                <w:i/>
                <w:sz w:val="20"/>
              </w:rPr>
              <w:t>;</w:t>
            </w:r>
            <w:r w:rsidR="00CF247E">
              <w:rPr>
                <w:rFonts w:ascii="Arial" w:hAnsi="Arial" w:cs="Arial"/>
                <w:iCs/>
                <w:sz w:val="20"/>
              </w:rPr>
              <w:t xml:space="preserve"> </w:t>
            </w:r>
            <w:r w:rsidR="00CF247E" w:rsidRPr="004E61E2">
              <w:rPr>
                <w:rFonts w:ascii="Arial" w:hAnsi="Arial" w:cs="Arial"/>
                <w:i/>
                <w:sz w:val="20"/>
              </w:rPr>
              <w:t>Roberts v. United States</w:t>
            </w:r>
            <w:r w:rsidR="00CF247E">
              <w:rPr>
                <w:rFonts w:ascii="Arial" w:hAnsi="Arial" w:cs="Arial"/>
                <w:i/>
                <w:sz w:val="20"/>
              </w:rPr>
              <w:t xml:space="preserve"> Jaycees</w:t>
            </w:r>
            <w:r w:rsidR="00CF247E" w:rsidRPr="004E61E2">
              <w:rPr>
                <w:rFonts w:ascii="Arial" w:hAnsi="Arial" w:cs="Arial"/>
                <w:i/>
                <w:sz w:val="20"/>
              </w:rPr>
              <w:t>; Boy Scouts of America v. Dale; Christian Legal Society v. Martinez</w:t>
            </w:r>
            <w:r w:rsidR="00CF247E">
              <w:rPr>
                <w:rFonts w:ascii="Arial" w:hAnsi="Arial" w:cs="Arial"/>
                <w:i/>
                <w:sz w:val="20"/>
              </w:rPr>
              <w:t xml:space="preserve">; </w:t>
            </w:r>
            <w:r w:rsidR="005565CB">
              <w:rPr>
                <w:rFonts w:ascii="Arial" w:hAnsi="Arial" w:cs="Arial"/>
                <w:i/>
                <w:sz w:val="20"/>
              </w:rPr>
              <w:t xml:space="preserve">United States v. Miller; </w:t>
            </w:r>
            <w:r w:rsidR="005565CB" w:rsidRPr="00280197">
              <w:rPr>
                <w:rFonts w:ascii="Arial" w:hAnsi="Arial" w:cs="Arial"/>
                <w:i/>
                <w:sz w:val="20"/>
              </w:rPr>
              <w:t>District of Columbia v. Heller</w:t>
            </w:r>
          </w:p>
          <w:p w14:paraId="61576C44" w14:textId="012B1BD8" w:rsidR="005565CB" w:rsidRDefault="005565CB" w:rsidP="005565CB">
            <w:pPr>
              <w:rPr>
                <w:rFonts w:ascii="Arial" w:hAnsi="Arial" w:cs="Arial"/>
                <w:iCs/>
                <w:sz w:val="20"/>
              </w:rPr>
            </w:pPr>
          </w:p>
          <w:p w14:paraId="6DD7EE6E" w14:textId="1B3DDFBB" w:rsidR="00A91C65" w:rsidRPr="00A91C65" w:rsidRDefault="00BD0806" w:rsidP="005565CB">
            <w:pPr>
              <w:rPr>
                <w:rFonts w:ascii="Arial" w:hAnsi="Arial" w:cs="Arial"/>
                <w:b/>
                <w:bCs/>
                <w:iCs/>
                <w:sz w:val="20"/>
              </w:rPr>
            </w:pPr>
            <w:r>
              <w:rPr>
                <w:rFonts w:ascii="Arial" w:hAnsi="Arial" w:cs="Arial"/>
                <w:b/>
                <w:bCs/>
                <w:iCs/>
                <w:sz w:val="20"/>
              </w:rPr>
              <w:t xml:space="preserve">Week </w:t>
            </w:r>
            <w:r w:rsidR="003E4A55">
              <w:rPr>
                <w:rFonts w:ascii="Arial" w:hAnsi="Arial" w:cs="Arial"/>
                <w:b/>
                <w:bCs/>
                <w:iCs/>
                <w:sz w:val="20"/>
              </w:rPr>
              <w:t>9</w:t>
            </w:r>
            <w:r>
              <w:rPr>
                <w:rFonts w:ascii="Arial" w:hAnsi="Arial" w:cs="Arial"/>
                <w:b/>
                <w:bCs/>
                <w:iCs/>
                <w:sz w:val="20"/>
              </w:rPr>
              <w:t xml:space="preserve">: </w:t>
            </w:r>
            <w:r w:rsidR="00A91C65" w:rsidRPr="00A91C65">
              <w:rPr>
                <w:rFonts w:ascii="Arial" w:hAnsi="Arial" w:cs="Arial"/>
                <w:b/>
                <w:bCs/>
                <w:iCs/>
                <w:sz w:val="20"/>
              </w:rPr>
              <w:t xml:space="preserve">Slavery and </w:t>
            </w:r>
            <w:r w:rsidR="00446560">
              <w:rPr>
                <w:rFonts w:ascii="Arial" w:hAnsi="Arial" w:cs="Arial"/>
                <w:b/>
                <w:bCs/>
                <w:iCs/>
                <w:sz w:val="20"/>
              </w:rPr>
              <w:t>Servitude</w:t>
            </w:r>
          </w:p>
          <w:p w14:paraId="35FAC0E9" w14:textId="4A163EAC" w:rsidR="00A91C65" w:rsidRPr="005A52DC" w:rsidRDefault="00BB48B0" w:rsidP="00A91C65">
            <w:pPr>
              <w:rPr>
                <w:rFonts w:ascii="Arial" w:hAnsi="Arial" w:cs="Arial"/>
                <w:bCs/>
                <w:i/>
                <w:iCs/>
                <w:sz w:val="20"/>
              </w:rPr>
            </w:pPr>
            <w:r>
              <w:rPr>
                <w:rFonts w:ascii="Arial" w:hAnsi="Arial" w:cs="Arial"/>
                <w:bCs/>
                <w:sz w:val="20"/>
              </w:rPr>
              <w:t xml:space="preserve">Cases: </w:t>
            </w:r>
            <w:r w:rsidR="00A91C65" w:rsidRPr="005A52DC">
              <w:rPr>
                <w:rFonts w:ascii="Arial" w:hAnsi="Arial" w:cs="Arial"/>
                <w:bCs/>
                <w:i/>
                <w:iCs/>
                <w:sz w:val="20"/>
              </w:rPr>
              <w:t xml:space="preserve">Prigg v. Pennsylvania, Dred Scott v. Sanford; Plessy v. Ferguson; Civil Rights Cases; </w:t>
            </w:r>
            <w:r w:rsidR="00CF247E" w:rsidRPr="005A52DC">
              <w:rPr>
                <w:rFonts w:ascii="Arial" w:hAnsi="Arial" w:cs="Arial"/>
                <w:bCs/>
                <w:i/>
                <w:iCs/>
                <w:sz w:val="20"/>
              </w:rPr>
              <w:t xml:space="preserve">Selective Draft Law Cases; </w:t>
            </w:r>
            <w:r w:rsidR="005A52DC">
              <w:rPr>
                <w:rFonts w:ascii="Arial" w:hAnsi="Arial" w:cs="Arial"/>
                <w:bCs/>
                <w:i/>
                <w:iCs/>
                <w:sz w:val="20"/>
              </w:rPr>
              <w:t>U.S. v. O’Brien</w:t>
            </w:r>
          </w:p>
          <w:p w14:paraId="0D7754BE" w14:textId="77777777" w:rsidR="00A91C65" w:rsidRPr="00A91C65" w:rsidRDefault="00A91C65" w:rsidP="005565CB">
            <w:pPr>
              <w:rPr>
                <w:rFonts w:ascii="Arial" w:hAnsi="Arial" w:cs="Arial"/>
                <w:iCs/>
                <w:sz w:val="20"/>
              </w:rPr>
            </w:pPr>
          </w:p>
          <w:p w14:paraId="71E16689" w14:textId="7ADC088A" w:rsidR="005565CB" w:rsidRDefault="005565CB" w:rsidP="005565CB">
            <w:pPr>
              <w:rPr>
                <w:rFonts w:ascii="Arial" w:hAnsi="Arial" w:cs="Arial"/>
                <w:b/>
                <w:sz w:val="20"/>
              </w:rPr>
            </w:pPr>
            <w:r>
              <w:rPr>
                <w:rFonts w:ascii="Arial" w:hAnsi="Arial" w:cs="Arial"/>
                <w:b/>
                <w:sz w:val="20"/>
              </w:rPr>
              <w:t>Week 1</w:t>
            </w:r>
            <w:r w:rsidR="003E4A55">
              <w:rPr>
                <w:rFonts w:ascii="Arial" w:hAnsi="Arial" w:cs="Arial"/>
                <w:b/>
                <w:sz w:val="20"/>
              </w:rPr>
              <w:t>0</w:t>
            </w:r>
            <w:r>
              <w:rPr>
                <w:rFonts w:ascii="Arial" w:hAnsi="Arial" w:cs="Arial"/>
                <w:b/>
                <w:sz w:val="20"/>
              </w:rPr>
              <w:t>: Equal Protection, Part 1</w:t>
            </w:r>
            <w:r w:rsidR="00917795">
              <w:rPr>
                <w:rFonts w:ascii="Arial" w:hAnsi="Arial" w:cs="Arial"/>
                <w:b/>
                <w:sz w:val="20"/>
              </w:rPr>
              <w:t xml:space="preserve"> – Chapter 12</w:t>
            </w:r>
          </w:p>
          <w:p w14:paraId="6F277CF1" w14:textId="526F237A" w:rsidR="005565CB" w:rsidRPr="00CF247E" w:rsidRDefault="005565CB" w:rsidP="005565CB">
            <w:pPr>
              <w:rPr>
                <w:rFonts w:ascii="Arial" w:hAnsi="Arial" w:cs="Arial"/>
                <w:bCs/>
                <w:sz w:val="20"/>
              </w:rPr>
            </w:pPr>
            <w:r w:rsidRPr="004E61E2">
              <w:rPr>
                <w:rFonts w:ascii="Arial" w:hAnsi="Arial" w:cs="Arial"/>
                <w:sz w:val="20"/>
              </w:rPr>
              <w:t>Cases</w:t>
            </w:r>
            <w:r w:rsidR="00A91C65">
              <w:rPr>
                <w:rFonts w:ascii="Arial" w:hAnsi="Arial" w:cs="Arial"/>
                <w:sz w:val="20"/>
              </w:rPr>
              <w:t xml:space="preserve"> </w:t>
            </w:r>
            <w:r w:rsidR="00CF247E" w:rsidRPr="005A52DC">
              <w:rPr>
                <w:rFonts w:ascii="Arial" w:hAnsi="Arial" w:cs="Arial"/>
                <w:bCs/>
                <w:i/>
                <w:iCs/>
                <w:sz w:val="20"/>
              </w:rPr>
              <w:t>Sweatt v. Painter; Brown v. Board of Education (1);</w:t>
            </w:r>
            <w:r w:rsidR="00CF247E">
              <w:rPr>
                <w:rFonts w:ascii="Arial" w:hAnsi="Arial" w:cs="Arial"/>
                <w:bCs/>
                <w:sz w:val="20"/>
              </w:rPr>
              <w:t xml:space="preserve"> </w:t>
            </w:r>
            <w:r>
              <w:rPr>
                <w:rFonts w:ascii="Arial" w:hAnsi="Arial" w:cs="Arial"/>
                <w:i/>
                <w:sz w:val="20"/>
              </w:rPr>
              <w:t xml:space="preserve">Burton v. Wilmington Parking Authority; Loving v. Virginia; </w:t>
            </w:r>
            <w:r w:rsidR="00DC1984">
              <w:rPr>
                <w:rFonts w:ascii="Arial" w:hAnsi="Arial" w:cs="Arial"/>
                <w:i/>
                <w:sz w:val="20"/>
              </w:rPr>
              <w:t xml:space="preserve">Jones v. Alfred H. Mayer Co; </w:t>
            </w:r>
            <w:r>
              <w:rPr>
                <w:rFonts w:ascii="Arial" w:hAnsi="Arial" w:cs="Arial"/>
                <w:i/>
                <w:sz w:val="20"/>
              </w:rPr>
              <w:t>Moose Lodge No. 107 v. Irvis</w:t>
            </w:r>
            <w:r w:rsidR="00DC1984">
              <w:rPr>
                <w:rFonts w:ascii="Arial" w:hAnsi="Arial" w:cs="Arial"/>
                <w:i/>
                <w:sz w:val="20"/>
              </w:rPr>
              <w:t xml:space="preserve"> </w:t>
            </w:r>
          </w:p>
          <w:p w14:paraId="58F12E66" w14:textId="77777777" w:rsidR="005565CB" w:rsidRDefault="005565CB" w:rsidP="005565CB">
            <w:pPr>
              <w:rPr>
                <w:rFonts w:ascii="Arial" w:hAnsi="Arial" w:cs="Arial"/>
                <w:sz w:val="20"/>
              </w:rPr>
            </w:pPr>
          </w:p>
          <w:p w14:paraId="378DDAD8" w14:textId="572D4F0E" w:rsidR="005565CB" w:rsidRDefault="005565CB" w:rsidP="005565CB">
            <w:pPr>
              <w:rPr>
                <w:rFonts w:ascii="Arial" w:hAnsi="Arial" w:cs="Arial"/>
                <w:b/>
                <w:sz w:val="20"/>
              </w:rPr>
            </w:pPr>
            <w:r>
              <w:rPr>
                <w:rFonts w:ascii="Arial" w:hAnsi="Arial" w:cs="Arial"/>
                <w:b/>
                <w:sz w:val="20"/>
              </w:rPr>
              <w:t>Week 1</w:t>
            </w:r>
            <w:r w:rsidR="003E4A55">
              <w:rPr>
                <w:rFonts w:ascii="Arial" w:hAnsi="Arial" w:cs="Arial"/>
                <w:b/>
                <w:sz w:val="20"/>
              </w:rPr>
              <w:t>1</w:t>
            </w:r>
            <w:r w:rsidRPr="008351FE">
              <w:rPr>
                <w:rFonts w:ascii="Arial" w:hAnsi="Arial" w:cs="Arial"/>
                <w:b/>
                <w:sz w:val="20"/>
              </w:rPr>
              <w:t>:</w:t>
            </w:r>
            <w:r>
              <w:rPr>
                <w:rFonts w:ascii="Arial" w:hAnsi="Arial" w:cs="Arial"/>
                <w:b/>
                <w:sz w:val="20"/>
              </w:rPr>
              <w:t xml:space="preserve"> Equal Protection, Part 2</w:t>
            </w:r>
            <w:r w:rsidR="00917795">
              <w:rPr>
                <w:rFonts w:ascii="Arial" w:hAnsi="Arial" w:cs="Arial"/>
                <w:b/>
                <w:sz w:val="20"/>
              </w:rPr>
              <w:t xml:space="preserve"> – Chapter 13</w:t>
            </w:r>
          </w:p>
          <w:p w14:paraId="58115780" w14:textId="0D01C9B4" w:rsidR="005565CB" w:rsidRDefault="005565CB" w:rsidP="005565CB">
            <w:pPr>
              <w:rPr>
                <w:rFonts w:ascii="Arial" w:hAnsi="Arial" w:cs="Arial"/>
                <w:i/>
                <w:sz w:val="20"/>
              </w:rPr>
            </w:pPr>
            <w:r>
              <w:rPr>
                <w:rFonts w:ascii="Arial" w:hAnsi="Arial" w:cs="Arial"/>
                <w:sz w:val="20"/>
              </w:rPr>
              <w:t xml:space="preserve">Cases: </w:t>
            </w:r>
            <w:r>
              <w:rPr>
                <w:rFonts w:ascii="Arial" w:hAnsi="Arial" w:cs="Arial"/>
                <w:i/>
                <w:sz w:val="20"/>
              </w:rPr>
              <w:t>Reed v. Reed; Craig v. Boren; United States v. Virginia;</w:t>
            </w:r>
            <w:r w:rsidRPr="00CD30D2">
              <w:rPr>
                <w:rFonts w:ascii="Arial" w:hAnsi="Arial" w:cs="Arial"/>
                <w:i/>
                <w:sz w:val="20"/>
              </w:rPr>
              <w:t xml:space="preserve"> </w:t>
            </w:r>
            <w:r w:rsidR="00A91C65">
              <w:rPr>
                <w:rFonts w:ascii="Arial" w:hAnsi="Arial" w:cs="Arial"/>
                <w:i/>
                <w:sz w:val="20"/>
              </w:rPr>
              <w:t xml:space="preserve">San Antonio School District v. Rodriguez; Plyer v. Doe; </w:t>
            </w:r>
            <w:r w:rsidR="00BB48B0">
              <w:rPr>
                <w:rFonts w:ascii="Arial" w:hAnsi="Arial" w:cs="Arial"/>
                <w:i/>
                <w:sz w:val="20"/>
              </w:rPr>
              <w:t xml:space="preserve">Cleburne v. Cleburne Living Center; </w:t>
            </w:r>
            <w:r>
              <w:rPr>
                <w:rFonts w:ascii="Arial" w:hAnsi="Arial" w:cs="Arial"/>
                <w:i/>
                <w:sz w:val="20"/>
              </w:rPr>
              <w:t xml:space="preserve">Regents of the University of California v. Bakke; </w:t>
            </w:r>
            <w:r w:rsidR="00D71E80">
              <w:rPr>
                <w:rFonts w:ascii="Arial" w:hAnsi="Arial" w:cs="Arial"/>
                <w:i/>
                <w:sz w:val="20"/>
              </w:rPr>
              <w:t>Fisher v. University of Texas (2)</w:t>
            </w:r>
          </w:p>
          <w:p w14:paraId="5ABC1E66" w14:textId="77777777" w:rsidR="003E4A55" w:rsidRDefault="003E4A55" w:rsidP="003E4A55">
            <w:pPr>
              <w:rPr>
                <w:rFonts w:ascii="Arial" w:hAnsi="Arial" w:cs="Arial"/>
                <w:b/>
                <w:sz w:val="20"/>
              </w:rPr>
            </w:pPr>
          </w:p>
          <w:p w14:paraId="7DE71E52" w14:textId="715E59C0" w:rsidR="003E4A55" w:rsidRDefault="003E4A55" w:rsidP="003E4A55">
            <w:pPr>
              <w:rPr>
                <w:rFonts w:ascii="Arial" w:hAnsi="Arial" w:cs="Arial"/>
                <w:b/>
                <w:sz w:val="20"/>
              </w:rPr>
            </w:pPr>
            <w:r>
              <w:rPr>
                <w:rFonts w:ascii="Arial" w:hAnsi="Arial" w:cs="Arial"/>
                <w:b/>
                <w:sz w:val="20"/>
              </w:rPr>
              <w:t>Week 12</w:t>
            </w:r>
            <w:r w:rsidRPr="008351FE">
              <w:rPr>
                <w:rFonts w:ascii="Arial" w:hAnsi="Arial" w:cs="Arial"/>
                <w:b/>
                <w:sz w:val="20"/>
              </w:rPr>
              <w:t>:</w:t>
            </w:r>
            <w:r>
              <w:rPr>
                <w:rFonts w:ascii="Arial" w:hAnsi="Arial" w:cs="Arial"/>
                <w:b/>
                <w:sz w:val="20"/>
              </w:rPr>
              <w:t xml:space="preserve"> Economic Substantive Due Process</w:t>
            </w:r>
          </w:p>
          <w:p w14:paraId="268325E1" w14:textId="77777777" w:rsidR="003E4A55" w:rsidRPr="004556FE" w:rsidRDefault="003E4A55" w:rsidP="003E4A55">
            <w:pPr>
              <w:rPr>
                <w:rFonts w:ascii="Arial" w:hAnsi="Arial" w:cs="Arial"/>
                <w:bCs/>
                <w:sz w:val="20"/>
              </w:rPr>
            </w:pPr>
            <w:r>
              <w:rPr>
                <w:rFonts w:ascii="Arial" w:hAnsi="Arial" w:cs="Arial"/>
                <w:bCs/>
                <w:sz w:val="20"/>
              </w:rPr>
              <w:t xml:space="preserve">Cases: </w:t>
            </w:r>
            <w:r w:rsidRPr="00BB48B0">
              <w:rPr>
                <w:rFonts w:ascii="Arial" w:hAnsi="Arial" w:cs="Arial"/>
                <w:bCs/>
                <w:i/>
                <w:iCs/>
                <w:sz w:val="20"/>
              </w:rPr>
              <w:t xml:space="preserve">The Slaughterhouse Cases; Allgeyer v. Louisiana; Lochner v. New York; Adkins v. Children’s Hospital; Nebbia v. New York; West Coast Hotel v. Parrish; BMW of North America v. Gore; Caperton v. A.T. Massey Coal </w:t>
            </w:r>
          </w:p>
          <w:p w14:paraId="1050E668" w14:textId="77777777" w:rsidR="003E4A55" w:rsidRDefault="003E4A55" w:rsidP="003E4A55">
            <w:pPr>
              <w:rPr>
                <w:rFonts w:ascii="Arial" w:hAnsi="Arial" w:cs="Arial"/>
                <w:sz w:val="20"/>
              </w:rPr>
            </w:pPr>
          </w:p>
          <w:p w14:paraId="0AA3EA11" w14:textId="5A499EE9" w:rsidR="003E4A55" w:rsidRDefault="003E4A55" w:rsidP="003E4A55">
            <w:pPr>
              <w:rPr>
                <w:rFonts w:ascii="Arial" w:hAnsi="Arial" w:cs="Arial"/>
                <w:b/>
                <w:sz w:val="20"/>
              </w:rPr>
            </w:pPr>
            <w:r>
              <w:rPr>
                <w:rFonts w:ascii="Arial" w:hAnsi="Arial" w:cs="Arial"/>
                <w:b/>
                <w:sz w:val="20"/>
              </w:rPr>
              <w:t>Week 13</w:t>
            </w:r>
            <w:r w:rsidRPr="008351FE">
              <w:rPr>
                <w:rFonts w:ascii="Arial" w:hAnsi="Arial" w:cs="Arial"/>
                <w:b/>
                <w:sz w:val="20"/>
              </w:rPr>
              <w:t>:</w:t>
            </w:r>
            <w:r>
              <w:rPr>
                <w:rFonts w:ascii="Arial" w:hAnsi="Arial" w:cs="Arial"/>
                <w:b/>
                <w:sz w:val="20"/>
              </w:rPr>
              <w:t xml:space="preserve"> Social Substantive Due Process – Chapter 9</w:t>
            </w:r>
          </w:p>
          <w:p w14:paraId="142F9F64" w14:textId="42368A6F" w:rsidR="003E4A55" w:rsidRDefault="003E4A55" w:rsidP="003E4A55">
            <w:pPr>
              <w:rPr>
                <w:rFonts w:ascii="Arial" w:hAnsi="Arial" w:cs="Arial"/>
                <w:i/>
                <w:sz w:val="20"/>
              </w:rPr>
            </w:pPr>
            <w:r>
              <w:rPr>
                <w:rFonts w:ascii="Arial" w:hAnsi="Arial" w:cs="Arial"/>
                <w:sz w:val="20"/>
              </w:rPr>
              <w:t xml:space="preserve">Cases: </w:t>
            </w:r>
            <w:r>
              <w:rPr>
                <w:rFonts w:ascii="Arial" w:hAnsi="Arial" w:cs="Arial"/>
                <w:i/>
                <w:sz w:val="20"/>
              </w:rPr>
              <w:t>Griswold v. Connecticut;</w:t>
            </w:r>
            <w:r w:rsidRPr="00530B71">
              <w:rPr>
                <w:rFonts w:ascii="Arial" w:hAnsi="Arial" w:cs="Arial"/>
                <w:i/>
                <w:sz w:val="20"/>
              </w:rPr>
              <w:t xml:space="preserve"> </w:t>
            </w:r>
            <w:r>
              <w:rPr>
                <w:rFonts w:ascii="Arial" w:hAnsi="Arial" w:cs="Arial"/>
                <w:i/>
                <w:sz w:val="20"/>
              </w:rPr>
              <w:t>Cruzan v. Director, Missouri Department of Health; Roe v. Wade; Planned Parenthood of Southeastern Pennsylvania v. Casey; Lawrence v. Texas; Obergefell v. Hodges</w:t>
            </w:r>
          </w:p>
          <w:p w14:paraId="41699D7D" w14:textId="77777777" w:rsidR="003E4A55" w:rsidRDefault="003E4A55" w:rsidP="003E4A55">
            <w:pPr>
              <w:rPr>
                <w:rFonts w:ascii="Arial" w:hAnsi="Arial" w:cs="Arial"/>
                <w:i/>
                <w:sz w:val="20"/>
              </w:rPr>
            </w:pPr>
          </w:p>
          <w:p w14:paraId="02028E15" w14:textId="79913B30" w:rsidR="003E4A55" w:rsidRDefault="003E4A55" w:rsidP="003E4A55">
            <w:pPr>
              <w:rPr>
                <w:rFonts w:ascii="Arial" w:hAnsi="Arial" w:cs="Arial"/>
                <w:b/>
                <w:sz w:val="20"/>
              </w:rPr>
            </w:pPr>
            <w:r>
              <w:rPr>
                <w:rFonts w:ascii="Arial" w:hAnsi="Arial" w:cs="Arial"/>
                <w:b/>
                <w:sz w:val="20"/>
              </w:rPr>
              <w:t>Week 14: Voting Rights and Election Law – Chapter 14</w:t>
            </w:r>
          </w:p>
          <w:p w14:paraId="6F5B1488" w14:textId="0BCBA419" w:rsidR="003E4A55" w:rsidRPr="004C179E" w:rsidRDefault="003E4A55" w:rsidP="005565CB">
            <w:pPr>
              <w:rPr>
                <w:rFonts w:ascii="Arial" w:hAnsi="Arial" w:cs="Arial"/>
                <w:i/>
                <w:sz w:val="20"/>
              </w:rPr>
            </w:pPr>
            <w:r>
              <w:rPr>
                <w:rFonts w:ascii="Arial" w:hAnsi="Arial" w:cs="Arial"/>
                <w:bCs/>
                <w:sz w:val="20"/>
              </w:rPr>
              <w:t xml:space="preserve">Cases: </w:t>
            </w:r>
            <w:r w:rsidRPr="005A52DC">
              <w:rPr>
                <w:rFonts w:ascii="Arial" w:hAnsi="Arial" w:cs="Arial"/>
                <w:bCs/>
                <w:i/>
                <w:iCs/>
                <w:sz w:val="20"/>
              </w:rPr>
              <w:t>South Carolina v. Katzenbach; Shelby County v. Holder; Citizens United v. FEC; McCutcheon v. Federal Election Commission; Reynolds v Sims; Miller v. Johnson; Rucho v. Common Cause</w:t>
            </w:r>
          </w:p>
          <w:p w14:paraId="13E48559" w14:textId="50FF0C09" w:rsidR="00012A9E" w:rsidRPr="00D868C2" w:rsidRDefault="003E4A55" w:rsidP="00B0295F">
            <w:pPr>
              <w:rPr>
                <w:rFonts w:ascii="Arial" w:hAnsi="Arial" w:cs="Arial"/>
                <w:b/>
                <w:sz w:val="20"/>
              </w:rPr>
            </w:pPr>
            <w:r>
              <w:rPr>
                <w:rFonts w:ascii="Arial" w:hAnsi="Arial" w:cs="Arial"/>
                <w:b/>
                <w:sz w:val="20"/>
              </w:rPr>
              <w:t>Beyond</w:t>
            </w:r>
            <w:r w:rsidR="00B0295F" w:rsidRPr="008351FE">
              <w:rPr>
                <w:rFonts w:ascii="Arial" w:hAnsi="Arial" w:cs="Arial"/>
                <w:b/>
                <w:sz w:val="20"/>
              </w:rPr>
              <w:t>:</w:t>
            </w:r>
            <w:r w:rsidR="00B0295F">
              <w:rPr>
                <w:rFonts w:ascii="Arial" w:hAnsi="Arial" w:cs="Arial"/>
                <w:b/>
                <w:sz w:val="20"/>
              </w:rPr>
              <w:t xml:space="preserve"> Hot Topics and Make-Up Days</w:t>
            </w:r>
          </w:p>
        </w:tc>
      </w:tr>
      <w:tr w:rsidR="00634B1C" w:rsidRPr="00C2322F" w14:paraId="2612F8EE" w14:textId="77777777" w:rsidTr="00D76428">
        <w:tc>
          <w:tcPr>
            <w:tcW w:w="10340" w:type="dxa"/>
            <w:shd w:val="clear" w:color="auto" w:fill="auto"/>
          </w:tcPr>
          <w:p w14:paraId="40920BA4" w14:textId="77777777" w:rsidR="00634B1C" w:rsidRDefault="00634B1C" w:rsidP="00634B1C">
            <w:pPr>
              <w:jc w:val="center"/>
              <w:rPr>
                <w:rFonts w:ascii="Arial" w:hAnsi="Arial" w:cs="Arial"/>
                <w:b/>
                <w:sz w:val="20"/>
              </w:rPr>
            </w:pPr>
            <w:r>
              <w:rPr>
                <w:rFonts w:ascii="Arial" w:hAnsi="Arial" w:cs="Arial"/>
                <w:b/>
                <w:sz w:val="20"/>
              </w:rPr>
              <w:t>Case Brief Rubric</w:t>
            </w:r>
          </w:p>
          <w:p w14:paraId="294DBB30" w14:textId="77777777" w:rsidR="00634B1C" w:rsidRPr="00D6678E" w:rsidRDefault="00634B1C" w:rsidP="00634B1C">
            <w:pPr>
              <w:jc w:val="center"/>
              <w:rPr>
                <w:rFonts w:ascii="Arial" w:hAnsi="Arial" w:cs="Arial"/>
                <w:b/>
                <w:sz w:val="20"/>
              </w:rPr>
            </w:pPr>
          </w:p>
        </w:tc>
      </w:tr>
      <w:tr w:rsidR="00634B1C" w:rsidRPr="00C2322F" w14:paraId="47CBB4CF" w14:textId="77777777" w:rsidTr="00D76428">
        <w:tc>
          <w:tcPr>
            <w:tcW w:w="10340" w:type="dxa"/>
            <w:shd w:val="clear" w:color="auto" w:fill="auto"/>
          </w:tcPr>
          <w:p w14:paraId="42171ABD" w14:textId="5E03C71E" w:rsidR="00634B1C" w:rsidRPr="00D61AAF" w:rsidRDefault="00634B1C" w:rsidP="00634B1C">
            <w:pPr>
              <w:rPr>
                <w:rFonts w:ascii="Arial" w:hAnsi="Arial" w:cs="Arial"/>
                <w:i/>
                <w:iCs/>
                <w:sz w:val="20"/>
              </w:rPr>
            </w:pPr>
            <w:r w:rsidRPr="00D868C2">
              <w:rPr>
                <w:rFonts w:ascii="Arial" w:hAnsi="Arial" w:cs="Arial"/>
                <w:sz w:val="20"/>
              </w:rPr>
              <w:t xml:space="preserve">1. </w:t>
            </w:r>
            <w:r w:rsidRPr="00D868C2">
              <w:rPr>
                <w:rFonts w:ascii="Arial" w:hAnsi="Arial" w:cs="Arial"/>
                <w:i/>
                <w:sz w:val="20"/>
              </w:rPr>
              <w:t>Name of the case</w:t>
            </w:r>
            <w:r w:rsidRPr="00D868C2">
              <w:rPr>
                <w:rFonts w:ascii="Arial" w:hAnsi="Arial" w:cs="Arial"/>
                <w:sz w:val="20"/>
              </w:rPr>
              <w:t xml:space="preserve">.  Always located at the beginning, the name or title identifies the parties to the case.  The </w:t>
            </w:r>
            <w:r>
              <w:rPr>
                <w:rFonts w:ascii="Arial" w:hAnsi="Arial" w:cs="Arial"/>
                <w:sz w:val="20"/>
              </w:rPr>
              <w:t xml:space="preserve">name </w:t>
            </w:r>
            <w:r w:rsidRPr="00D868C2">
              <w:rPr>
                <w:rFonts w:ascii="Arial" w:hAnsi="Arial" w:cs="Arial"/>
                <w:sz w:val="20"/>
              </w:rPr>
              <w:t>of the person or entity bringing the case to the Supreme Court appears first</w:t>
            </w:r>
            <w:r>
              <w:rPr>
                <w:rFonts w:ascii="Arial" w:hAnsi="Arial" w:cs="Arial"/>
                <w:sz w:val="20"/>
              </w:rPr>
              <w:t xml:space="preserve">; this party wants the Supreme </w:t>
            </w:r>
            <w:r>
              <w:rPr>
                <w:rFonts w:ascii="Arial" w:hAnsi="Arial" w:cs="Arial"/>
                <w:sz w:val="20"/>
              </w:rPr>
              <w:lastRenderedPageBreak/>
              <w:t>Court to provide them with relief in some form. The</w:t>
            </w:r>
            <w:r w:rsidRPr="00D868C2">
              <w:rPr>
                <w:rFonts w:ascii="Arial" w:hAnsi="Arial" w:cs="Arial"/>
                <w:sz w:val="20"/>
              </w:rPr>
              <w:t xml:space="preserve"> party being brought to the Supreme Court is listed second.  The “v.” stands for “versus</w:t>
            </w:r>
            <w:r>
              <w:rPr>
                <w:rFonts w:ascii="Arial" w:hAnsi="Arial" w:cs="Arial"/>
                <w:sz w:val="20"/>
              </w:rPr>
              <w:t>.”</w:t>
            </w:r>
          </w:p>
          <w:p w14:paraId="0B699A62" w14:textId="77777777" w:rsidR="00634B1C" w:rsidRPr="00D868C2" w:rsidRDefault="00634B1C" w:rsidP="00634B1C">
            <w:pPr>
              <w:rPr>
                <w:rFonts w:ascii="Arial" w:hAnsi="Arial" w:cs="Arial"/>
                <w:sz w:val="20"/>
              </w:rPr>
            </w:pPr>
          </w:p>
          <w:p w14:paraId="6D544D48" w14:textId="77777777" w:rsidR="00634B1C" w:rsidRDefault="00634B1C" w:rsidP="00634B1C">
            <w:pPr>
              <w:rPr>
                <w:rFonts w:ascii="Arial" w:hAnsi="Arial" w:cs="Arial"/>
                <w:sz w:val="20"/>
              </w:rPr>
            </w:pPr>
            <w:r w:rsidRPr="00D868C2">
              <w:rPr>
                <w:rFonts w:ascii="Arial" w:hAnsi="Arial" w:cs="Arial"/>
                <w:sz w:val="20"/>
              </w:rPr>
              <w:t xml:space="preserve">2. </w:t>
            </w:r>
            <w:r w:rsidRPr="00D868C2">
              <w:rPr>
                <w:rFonts w:ascii="Arial" w:hAnsi="Arial" w:cs="Arial"/>
                <w:i/>
                <w:sz w:val="20"/>
              </w:rPr>
              <w:t>Facts</w:t>
            </w:r>
            <w:r>
              <w:rPr>
                <w:rFonts w:ascii="Arial" w:hAnsi="Arial" w:cs="Arial"/>
                <w:i/>
                <w:sz w:val="20"/>
              </w:rPr>
              <w:t xml:space="preserve"> and Case History</w:t>
            </w:r>
            <w:r w:rsidRPr="00D868C2">
              <w:rPr>
                <w:rFonts w:ascii="Arial" w:hAnsi="Arial" w:cs="Arial"/>
                <w:i/>
                <w:sz w:val="20"/>
              </w:rPr>
              <w:t>.</w:t>
            </w:r>
            <w:r w:rsidRPr="00D868C2">
              <w:rPr>
                <w:rFonts w:ascii="Arial" w:hAnsi="Arial" w:cs="Arial"/>
                <w:sz w:val="20"/>
              </w:rPr>
              <w:t xml:space="preserve">  Cases are real, not hypothetical, controversies between parties.  The issues of a case arise from circumstances or events that have prompted one or both parties to seek redress or resolution in court.  The facts of a case may or may not be in dispute, but they are always a factor in how cases are decided.</w:t>
            </w:r>
            <w:r>
              <w:rPr>
                <w:rFonts w:ascii="Arial" w:hAnsi="Arial" w:cs="Arial"/>
                <w:sz w:val="20"/>
              </w:rPr>
              <w:t xml:space="preserve"> Each case also has a legal history of how it made it to the Supreme Court, including the court where the case originated and any subsequent courts it was heard before arriving to the Supreme Court.</w:t>
            </w:r>
          </w:p>
          <w:p w14:paraId="5625BF63" w14:textId="77777777" w:rsidR="00634B1C" w:rsidRPr="00D868C2" w:rsidRDefault="00634B1C" w:rsidP="00634B1C">
            <w:pPr>
              <w:rPr>
                <w:rFonts w:ascii="Arial" w:hAnsi="Arial" w:cs="Arial"/>
                <w:sz w:val="20"/>
              </w:rPr>
            </w:pPr>
          </w:p>
          <w:p w14:paraId="012C191A" w14:textId="77777777" w:rsidR="00634B1C" w:rsidRDefault="00634B1C" w:rsidP="00634B1C">
            <w:pPr>
              <w:rPr>
                <w:rFonts w:ascii="Arial" w:hAnsi="Arial" w:cs="Arial"/>
                <w:sz w:val="20"/>
              </w:rPr>
            </w:pPr>
            <w:r w:rsidRPr="00D868C2">
              <w:rPr>
                <w:rFonts w:ascii="Arial" w:hAnsi="Arial" w:cs="Arial"/>
                <w:sz w:val="20"/>
              </w:rPr>
              <w:t xml:space="preserve">3. </w:t>
            </w:r>
            <w:r w:rsidRPr="00D868C2">
              <w:rPr>
                <w:rFonts w:ascii="Arial" w:hAnsi="Arial" w:cs="Arial"/>
                <w:i/>
                <w:sz w:val="20"/>
              </w:rPr>
              <w:t xml:space="preserve">Question(s).  </w:t>
            </w:r>
            <w:r w:rsidRPr="00D868C2">
              <w:rPr>
                <w:rFonts w:ascii="Arial" w:hAnsi="Arial" w:cs="Arial"/>
                <w:sz w:val="20"/>
              </w:rPr>
              <w:t>The</w:t>
            </w:r>
            <w:r>
              <w:rPr>
                <w:rFonts w:ascii="Arial" w:hAnsi="Arial" w:cs="Arial"/>
                <w:sz w:val="20"/>
              </w:rPr>
              <w:t xml:space="preserve"> parties will present multiple arguments as to whether the Court should grant relief to a particular party. These different arguments can be understood as answers to important legal questions that underlie a particular case, similar to the format of the gameshow Jeopardy!. The Supreme Court usually, but not always, states a case’s questions outright. Questions may be procedural – whether or not the Court should hear a case, for example</w:t>
            </w:r>
            <w:r w:rsidRPr="00D868C2">
              <w:rPr>
                <w:rFonts w:ascii="Arial" w:hAnsi="Arial" w:cs="Arial"/>
                <w:sz w:val="20"/>
              </w:rPr>
              <w:t>.</w:t>
            </w:r>
            <w:r>
              <w:rPr>
                <w:rFonts w:ascii="Arial" w:hAnsi="Arial" w:cs="Arial"/>
                <w:sz w:val="20"/>
              </w:rPr>
              <w:t xml:space="preserve"> Questions can also be substantive – whether a particular government action constitutional.</w:t>
            </w:r>
          </w:p>
          <w:p w14:paraId="13CBAFA6" w14:textId="77777777" w:rsidR="00634B1C" w:rsidRPr="00D868C2" w:rsidRDefault="00634B1C" w:rsidP="00634B1C">
            <w:pPr>
              <w:rPr>
                <w:rFonts w:ascii="Arial" w:hAnsi="Arial" w:cs="Arial"/>
                <w:sz w:val="20"/>
              </w:rPr>
            </w:pPr>
          </w:p>
          <w:p w14:paraId="081E2570" w14:textId="77777777" w:rsidR="00634B1C" w:rsidRDefault="00634B1C" w:rsidP="00634B1C">
            <w:pPr>
              <w:rPr>
                <w:rFonts w:ascii="Arial" w:hAnsi="Arial" w:cs="Arial"/>
                <w:sz w:val="20"/>
              </w:rPr>
            </w:pPr>
            <w:r w:rsidRPr="00D868C2">
              <w:rPr>
                <w:rFonts w:ascii="Arial" w:hAnsi="Arial" w:cs="Arial"/>
                <w:sz w:val="20"/>
              </w:rPr>
              <w:t xml:space="preserve">4. </w:t>
            </w:r>
            <w:r w:rsidRPr="00D868C2">
              <w:rPr>
                <w:rFonts w:ascii="Arial" w:hAnsi="Arial" w:cs="Arial"/>
                <w:i/>
                <w:sz w:val="20"/>
              </w:rPr>
              <w:t>Decision.</w:t>
            </w:r>
            <w:r w:rsidRPr="00D868C2">
              <w:rPr>
                <w:rFonts w:ascii="Arial" w:hAnsi="Arial" w:cs="Arial"/>
                <w:sz w:val="20"/>
              </w:rPr>
              <w:t xml:space="preserve">   This is the result </w:t>
            </w:r>
            <w:r>
              <w:rPr>
                <w:rFonts w:ascii="Arial" w:hAnsi="Arial" w:cs="Arial"/>
                <w:sz w:val="20"/>
              </w:rPr>
              <w:t>of the case for the parties involved</w:t>
            </w:r>
            <w:r w:rsidRPr="00D868C2">
              <w:rPr>
                <w:rFonts w:ascii="Arial" w:hAnsi="Arial" w:cs="Arial"/>
                <w:sz w:val="20"/>
              </w:rPr>
              <w:t xml:space="preserve">.  The Court’s opinion provides an answer to the question(s) the case raises.  For example, a government agency has, or has not, exceeded its authority under a statute or the Constitution.  </w:t>
            </w:r>
            <w:r>
              <w:rPr>
                <w:rFonts w:ascii="Arial" w:hAnsi="Arial" w:cs="Arial"/>
                <w:sz w:val="20"/>
              </w:rPr>
              <w:t>In cases in which the Court serves as an appellate body</w:t>
            </w:r>
            <w:r w:rsidRPr="00D868C2">
              <w:rPr>
                <w:rFonts w:ascii="Arial" w:hAnsi="Arial" w:cs="Arial"/>
                <w:sz w:val="20"/>
              </w:rPr>
              <w:t xml:space="preserve">, decisions </w:t>
            </w:r>
            <w:r>
              <w:rPr>
                <w:rFonts w:ascii="Arial" w:hAnsi="Arial" w:cs="Arial"/>
                <w:sz w:val="20"/>
              </w:rPr>
              <w:t xml:space="preserve">also </w:t>
            </w:r>
            <w:r w:rsidRPr="00D868C2">
              <w:rPr>
                <w:rFonts w:ascii="Arial" w:hAnsi="Arial" w:cs="Arial"/>
                <w:sz w:val="20"/>
              </w:rPr>
              <w:t xml:space="preserve">take the form of </w:t>
            </w:r>
            <w:r w:rsidRPr="00D868C2">
              <w:rPr>
                <w:rFonts w:ascii="Arial" w:hAnsi="Arial" w:cs="Arial"/>
                <w:i/>
                <w:sz w:val="20"/>
              </w:rPr>
              <w:t>affirming</w:t>
            </w:r>
            <w:r w:rsidRPr="00D868C2">
              <w:rPr>
                <w:rFonts w:ascii="Arial" w:hAnsi="Arial" w:cs="Arial"/>
                <w:sz w:val="20"/>
              </w:rPr>
              <w:t xml:space="preserve"> (accepting) or </w:t>
            </w:r>
            <w:r w:rsidRPr="00D868C2">
              <w:rPr>
                <w:rFonts w:ascii="Arial" w:hAnsi="Arial" w:cs="Arial"/>
                <w:i/>
                <w:sz w:val="20"/>
              </w:rPr>
              <w:t>reversing</w:t>
            </w:r>
            <w:r w:rsidRPr="00D868C2">
              <w:rPr>
                <w:rFonts w:ascii="Arial" w:hAnsi="Arial" w:cs="Arial"/>
                <w:sz w:val="20"/>
              </w:rPr>
              <w:t xml:space="preserve"> (rejecting and setting aside) the judgment of the court below.  When reversing, the Justices will often </w:t>
            </w:r>
            <w:r w:rsidRPr="00D868C2">
              <w:rPr>
                <w:rFonts w:ascii="Arial" w:hAnsi="Arial" w:cs="Arial"/>
                <w:i/>
                <w:sz w:val="20"/>
              </w:rPr>
              <w:t>remand</w:t>
            </w:r>
            <w:r w:rsidRPr="00D868C2">
              <w:rPr>
                <w:rFonts w:ascii="Arial" w:hAnsi="Arial" w:cs="Arial"/>
                <w:sz w:val="20"/>
              </w:rPr>
              <w:t xml:space="preserve"> (send back) a case to the lower court for action “not inconsiste</w:t>
            </w:r>
            <w:r>
              <w:rPr>
                <w:rFonts w:ascii="Arial" w:hAnsi="Arial" w:cs="Arial"/>
                <w:sz w:val="20"/>
              </w:rPr>
              <w:t>nt” with the Court’s decision.</w:t>
            </w:r>
          </w:p>
          <w:p w14:paraId="078EE629" w14:textId="77777777" w:rsidR="00634B1C" w:rsidRPr="00D868C2" w:rsidRDefault="00634B1C" w:rsidP="00634B1C">
            <w:pPr>
              <w:rPr>
                <w:rFonts w:ascii="Arial" w:hAnsi="Arial" w:cs="Arial"/>
                <w:sz w:val="20"/>
              </w:rPr>
            </w:pPr>
          </w:p>
          <w:p w14:paraId="10207206" w14:textId="77777777" w:rsidR="00634B1C" w:rsidRDefault="00634B1C" w:rsidP="00634B1C">
            <w:pPr>
              <w:rPr>
                <w:rFonts w:ascii="Arial" w:hAnsi="Arial" w:cs="Arial"/>
                <w:sz w:val="20"/>
              </w:rPr>
            </w:pPr>
            <w:r>
              <w:rPr>
                <w:rFonts w:ascii="Arial" w:hAnsi="Arial" w:cs="Arial"/>
                <w:sz w:val="20"/>
              </w:rPr>
              <w:t>5</w:t>
            </w:r>
            <w:r w:rsidRPr="00D868C2">
              <w:rPr>
                <w:rFonts w:ascii="Arial" w:hAnsi="Arial" w:cs="Arial"/>
                <w:sz w:val="20"/>
              </w:rPr>
              <w:t xml:space="preserve">. </w:t>
            </w:r>
            <w:r>
              <w:rPr>
                <w:rFonts w:ascii="Arial" w:hAnsi="Arial" w:cs="Arial"/>
                <w:i/>
                <w:sz w:val="20"/>
              </w:rPr>
              <w:t>Opinions</w:t>
            </w:r>
            <w:r w:rsidRPr="00D868C2">
              <w:rPr>
                <w:rFonts w:ascii="Arial" w:hAnsi="Arial" w:cs="Arial"/>
                <w:i/>
                <w:sz w:val="20"/>
              </w:rPr>
              <w:t>.</w:t>
            </w:r>
            <w:r w:rsidRPr="00D868C2">
              <w:rPr>
                <w:rFonts w:ascii="Arial" w:hAnsi="Arial" w:cs="Arial"/>
                <w:sz w:val="20"/>
              </w:rPr>
              <w:t xml:space="preserve">  The </w:t>
            </w:r>
            <w:r>
              <w:rPr>
                <w:rFonts w:ascii="Arial" w:hAnsi="Arial" w:cs="Arial"/>
                <w:sz w:val="20"/>
              </w:rPr>
              <w:t>justices write opinions that answer the question(s) of the case and explains why that answer(s) is the best one</w:t>
            </w:r>
            <w:r w:rsidRPr="00D868C2">
              <w:rPr>
                <w:rFonts w:ascii="Arial" w:hAnsi="Arial" w:cs="Arial"/>
                <w:sz w:val="20"/>
              </w:rPr>
              <w:t xml:space="preserve">. </w:t>
            </w:r>
            <w:r>
              <w:rPr>
                <w:rFonts w:ascii="Arial" w:hAnsi="Arial" w:cs="Arial"/>
                <w:sz w:val="20"/>
              </w:rPr>
              <w:t>Justices do not write an opinion for every case; they instead join the opinions of their colleagues, which should be noted. Though not all justices write opinions, a</w:t>
            </w:r>
            <w:r w:rsidRPr="00D868C2">
              <w:rPr>
                <w:rFonts w:ascii="Arial" w:hAnsi="Arial" w:cs="Arial"/>
                <w:sz w:val="20"/>
              </w:rPr>
              <w:t xml:space="preserve">ll justices normally take part in each decision.  Awareness of the votes of individual justices </w:t>
            </w:r>
            <w:r>
              <w:rPr>
                <w:rFonts w:ascii="Arial" w:hAnsi="Arial" w:cs="Arial"/>
                <w:sz w:val="20"/>
              </w:rPr>
              <w:t>allow the reader to better understand a justice’s jurisprudence.</w:t>
            </w:r>
          </w:p>
          <w:p w14:paraId="47C31813" w14:textId="77777777" w:rsidR="00634B1C" w:rsidRPr="00D868C2" w:rsidRDefault="00634B1C" w:rsidP="00634B1C">
            <w:pPr>
              <w:rPr>
                <w:rFonts w:ascii="Arial" w:hAnsi="Arial" w:cs="Arial"/>
                <w:sz w:val="20"/>
              </w:rPr>
            </w:pPr>
          </w:p>
          <w:p w14:paraId="227F6277" w14:textId="77777777" w:rsidR="00634B1C" w:rsidRDefault="00634B1C" w:rsidP="00634B1C">
            <w:pPr>
              <w:rPr>
                <w:rFonts w:ascii="Arial" w:hAnsi="Arial" w:cs="Arial"/>
                <w:sz w:val="20"/>
              </w:rPr>
            </w:pPr>
            <w:r>
              <w:rPr>
                <w:rFonts w:ascii="Arial" w:hAnsi="Arial" w:cs="Arial"/>
                <w:sz w:val="20"/>
              </w:rPr>
              <w:t>6</w:t>
            </w:r>
            <w:r w:rsidRPr="00D868C2">
              <w:rPr>
                <w:rFonts w:ascii="Arial" w:hAnsi="Arial" w:cs="Arial"/>
                <w:sz w:val="20"/>
              </w:rPr>
              <w:t xml:space="preserve">. </w:t>
            </w:r>
            <w:r w:rsidRPr="00D868C2">
              <w:rPr>
                <w:rFonts w:ascii="Arial" w:hAnsi="Arial" w:cs="Arial"/>
                <w:i/>
                <w:sz w:val="20"/>
              </w:rPr>
              <w:t>Reasoning of the Majority Opinion.</w:t>
            </w:r>
            <w:r w:rsidRPr="00D868C2">
              <w:rPr>
                <w:rFonts w:ascii="Arial" w:hAnsi="Arial" w:cs="Arial"/>
                <w:sz w:val="20"/>
              </w:rPr>
              <w:t xml:space="preserve">  Th</w:t>
            </w:r>
            <w:r>
              <w:rPr>
                <w:rFonts w:ascii="Arial" w:hAnsi="Arial" w:cs="Arial"/>
                <w:sz w:val="20"/>
              </w:rPr>
              <w:t xml:space="preserve">e </w:t>
            </w:r>
            <w:r w:rsidRPr="00D868C2">
              <w:rPr>
                <w:rFonts w:ascii="Arial" w:hAnsi="Arial" w:cs="Arial"/>
                <w:sz w:val="20"/>
              </w:rPr>
              <w:t>“majority opinion” or the “opinion of the Court”</w:t>
            </w:r>
            <w:r>
              <w:rPr>
                <w:rFonts w:ascii="Arial" w:hAnsi="Arial" w:cs="Arial"/>
                <w:sz w:val="20"/>
              </w:rPr>
              <w:t xml:space="preserve"> </w:t>
            </w:r>
            <w:r w:rsidRPr="00D868C2">
              <w:rPr>
                <w:rFonts w:ascii="Arial" w:hAnsi="Arial" w:cs="Arial"/>
                <w:sz w:val="20"/>
              </w:rPr>
              <w:t>is a statement reflecting the consensus of a majority of the Justices</w:t>
            </w:r>
            <w:r>
              <w:rPr>
                <w:rFonts w:ascii="Arial" w:hAnsi="Arial" w:cs="Arial"/>
                <w:sz w:val="20"/>
              </w:rPr>
              <w:t xml:space="preserve"> on the questions of the case.</w:t>
            </w:r>
            <w:r w:rsidRPr="00D868C2">
              <w:rPr>
                <w:rFonts w:ascii="Arial" w:hAnsi="Arial" w:cs="Arial"/>
                <w:sz w:val="20"/>
              </w:rPr>
              <w:t xml:space="preserve"> </w:t>
            </w:r>
            <w:r>
              <w:rPr>
                <w:rFonts w:ascii="Arial" w:hAnsi="Arial" w:cs="Arial"/>
                <w:sz w:val="20"/>
              </w:rPr>
              <w:t>On substantive questions, the opinion will give a general interpretation of a constitutional provision(s) and discuss how that interpretation should be applied to the case. B</w:t>
            </w:r>
            <w:r w:rsidRPr="00D868C2">
              <w:rPr>
                <w:rFonts w:ascii="Arial" w:hAnsi="Arial" w:cs="Arial"/>
                <w:sz w:val="20"/>
              </w:rPr>
              <w:t xml:space="preserve">e alert to the use or presence of </w:t>
            </w:r>
            <w:r>
              <w:rPr>
                <w:rFonts w:ascii="Arial" w:hAnsi="Arial" w:cs="Arial"/>
                <w:sz w:val="20"/>
              </w:rPr>
              <w:t>several methods of judicial interpretation, as explained in the textbook. Also determine if the Court is using a particular standard of review or constitutional test when evaluating a particular government action. Finally, be sure to note how the opinion responds to the arguments presented by both the parties in the case as well as their peers’ opinions.</w:t>
            </w:r>
          </w:p>
          <w:p w14:paraId="0BF12B07" w14:textId="77777777" w:rsidR="00634B1C" w:rsidRPr="00D868C2" w:rsidRDefault="00634B1C" w:rsidP="00634B1C">
            <w:pPr>
              <w:rPr>
                <w:rFonts w:ascii="Arial" w:hAnsi="Arial" w:cs="Arial"/>
                <w:sz w:val="20"/>
              </w:rPr>
            </w:pPr>
          </w:p>
          <w:p w14:paraId="3E0C5D12" w14:textId="77777777" w:rsidR="00634B1C" w:rsidRDefault="00634B1C" w:rsidP="00634B1C">
            <w:pPr>
              <w:rPr>
                <w:rFonts w:ascii="Arial" w:hAnsi="Arial" w:cs="Arial"/>
                <w:sz w:val="20"/>
              </w:rPr>
            </w:pPr>
            <w:r>
              <w:rPr>
                <w:rFonts w:ascii="Arial" w:hAnsi="Arial" w:cs="Arial"/>
                <w:sz w:val="20"/>
              </w:rPr>
              <w:t>7</w:t>
            </w:r>
            <w:r w:rsidRPr="00D868C2">
              <w:rPr>
                <w:rFonts w:ascii="Arial" w:hAnsi="Arial" w:cs="Arial"/>
                <w:sz w:val="20"/>
              </w:rPr>
              <w:t xml:space="preserve">. </w:t>
            </w:r>
            <w:r w:rsidRPr="00D868C2">
              <w:rPr>
                <w:rFonts w:ascii="Arial" w:hAnsi="Arial" w:cs="Arial"/>
                <w:i/>
                <w:sz w:val="20"/>
              </w:rPr>
              <w:t>Reasoning of Separate Opinions.</w:t>
            </w:r>
            <w:r w:rsidRPr="00D868C2">
              <w:rPr>
                <w:rFonts w:ascii="Arial" w:hAnsi="Arial" w:cs="Arial"/>
                <w:sz w:val="20"/>
              </w:rPr>
              <w:t xml:space="preserve">  Concurring</w:t>
            </w:r>
            <w:r>
              <w:rPr>
                <w:rFonts w:ascii="Arial" w:hAnsi="Arial" w:cs="Arial"/>
                <w:sz w:val="20"/>
              </w:rPr>
              <w:t xml:space="preserve"> opinions are those in which a justice(s) agreed with the outcome of the case, but not for the reasons given by the majority opinion. </w:t>
            </w:r>
            <w:r w:rsidRPr="00D868C2">
              <w:rPr>
                <w:rFonts w:ascii="Arial" w:hAnsi="Arial" w:cs="Arial"/>
                <w:sz w:val="20"/>
              </w:rPr>
              <w:t xml:space="preserve">Concurring opinions </w:t>
            </w:r>
            <w:r>
              <w:rPr>
                <w:rFonts w:ascii="Arial" w:hAnsi="Arial" w:cs="Arial"/>
                <w:sz w:val="20"/>
              </w:rPr>
              <w:t xml:space="preserve">may offer reasons that are more moderate or more extreme one than those of the majority. Dissenting opinions are those in which a justice(s) disagreed with the outcome of the case. </w:t>
            </w:r>
            <w:r w:rsidRPr="00D868C2">
              <w:rPr>
                <w:rFonts w:ascii="Arial" w:hAnsi="Arial" w:cs="Arial"/>
                <w:sz w:val="20"/>
              </w:rPr>
              <w:t>Dissenting opinions highlight weaknesses in the majority’s reasoning</w:t>
            </w:r>
            <w:r>
              <w:rPr>
                <w:rFonts w:ascii="Arial" w:hAnsi="Arial" w:cs="Arial"/>
                <w:sz w:val="20"/>
              </w:rPr>
              <w:t xml:space="preserve">. They </w:t>
            </w:r>
            <w:r w:rsidRPr="00D868C2">
              <w:rPr>
                <w:rFonts w:ascii="Arial" w:hAnsi="Arial" w:cs="Arial"/>
                <w:sz w:val="20"/>
              </w:rPr>
              <w:t>may emphasize facts not stressed in the majority opinion</w:t>
            </w:r>
            <w:r>
              <w:rPr>
                <w:rFonts w:ascii="Arial" w:hAnsi="Arial" w:cs="Arial"/>
                <w:sz w:val="20"/>
              </w:rPr>
              <w:t>, or they may advocate for a different interpretation of a constitutional provision</w:t>
            </w:r>
            <w:r w:rsidRPr="00D868C2">
              <w:rPr>
                <w:rFonts w:ascii="Arial" w:hAnsi="Arial" w:cs="Arial"/>
                <w:sz w:val="20"/>
              </w:rPr>
              <w:t xml:space="preserve">. </w:t>
            </w:r>
          </w:p>
          <w:p w14:paraId="7B5B57D9" w14:textId="77777777" w:rsidR="00634B1C" w:rsidRDefault="00634B1C" w:rsidP="00634B1C">
            <w:pPr>
              <w:rPr>
                <w:rFonts w:ascii="Arial" w:hAnsi="Arial" w:cs="Arial"/>
                <w:sz w:val="20"/>
              </w:rPr>
            </w:pPr>
          </w:p>
          <w:p w14:paraId="7A4617A4" w14:textId="77777777" w:rsidR="00634B1C" w:rsidRDefault="00634B1C" w:rsidP="00634B1C">
            <w:pPr>
              <w:rPr>
                <w:rFonts w:ascii="Arial" w:hAnsi="Arial" w:cs="Arial"/>
                <w:sz w:val="20"/>
              </w:rPr>
            </w:pPr>
            <w:r>
              <w:rPr>
                <w:rFonts w:ascii="Arial" w:hAnsi="Arial" w:cs="Arial"/>
                <w:sz w:val="20"/>
              </w:rPr>
              <w:t xml:space="preserve">8. </w:t>
            </w:r>
            <w:r w:rsidRPr="00891D43">
              <w:rPr>
                <w:rFonts w:ascii="Arial" w:hAnsi="Arial" w:cs="Arial"/>
                <w:i/>
                <w:iCs/>
                <w:sz w:val="20"/>
              </w:rPr>
              <w:t>Legacy and Significance.</w:t>
            </w:r>
            <w:r>
              <w:rPr>
                <w:rFonts w:ascii="Arial" w:hAnsi="Arial" w:cs="Arial"/>
                <w:sz w:val="20"/>
              </w:rPr>
              <w:t xml:space="preserve"> Cases have important consequences for the political and legal debates of the country. Political consequences include the passage of new legislation in response to the case or invalidation of similar legislation. Legal consequences include establishing or overturning precedent on a constitutional issue that is cited in later cases. Even proposed constitutional amendments can gain or lose traction due to case outcomes.</w:t>
            </w:r>
          </w:p>
          <w:p w14:paraId="6E05D980" w14:textId="77777777" w:rsidR="00634B1C" w:rsidRDefault="00634B1C" w:rsidP="00634B1C">
            <w:pPr>
              <w:rPr>
                <w:rFonts w:ascii="Arial" w:hAnsi="Arial" w:cs="Arial"/>
                <w:sz w:val="20"/>
              </w:rPr>
            </w:pPr>
          </w:p>
          <w:p w14:paraId="07CC6858" w14:textId="7175E521" w:rsidR="00634B1C" w:rsidRPr="00C2322F" w:rsidRDefault="00634B1C" w:rsidP="00634B1C">
            <w:pPr>
              <w:rPr>
                <w:rFonts w:ascii="Arial" w:hAnsi="Arial" w:cs="Arial"/>
                <w:sz w:val="20"/>
              </w:rPr>
            </w:pPr>
            <w:r>
              <w:rPr>
                <w:rFonts w:ascii="Arial" w:hAnsi="Arial" w:cs="Arial"/>
                <w:sz w:val="20"/>
              </w:rPr>
              <w:t xml:space="preserve">9. </w:t>
            </w:r>
            <w:r w:rsidRPr="00705B37">
              <w:rPr>
                <w:rFonts w:ascii="Arial" w:hAnsi="Arial" w:cs="Arial"/>
                <w:i/>
                <w:iCs/>
                <w:sz w:val="20"/>
              </w:rPr>
              <w:t>Personal Opinion</w:t>
            </w:r>
            <w:r>
              <w:rPr>
                <w:rFonts w:ascii="Arial" w:hAnsi="Arial" w:cs="Arial"/>
                <w:sz w:val="20"/>
              </w:rPr>
              <w:t>. State how you would vote as a justice. Explain how you would answer the question(s) in the case and describe your legal rationale for doing so. Also discuss how you would vote, including which opinions you would join and whether you would file your own opinion.</w:t>
            </w:r>
          </w:p>
        </w:tc>
      </w:tr>
    </w:tbl>
    <w:p w14:paraId="1E51CE53" w14:textId="77777777" w:rsidR="000C6758" w:rsidRDefault="000C6758" w:rsidP="00BB48B0"/>
    <w:sectPr w:rsidR="000C6758" w:rsidSect="00BB48B0">
      <w:footerReference w:type="default" r:id="rId32"/>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7C29" w14:textId="77777777" w:rsidR="0048124F" w:rsidRDefault="0048124F">
      <w:r>
        <w:separator/>
      </w:r>
    </w:p>
  </w:endnote>
  <w:endnote w:type="continuationSeparator" w:id="0">
    <w:p w14:paraId="4AFAAC62" w14:textId="77777777" w:rsidR="0048124F" w:rsidRDefault="0048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1D34" w14:textId="77777777" w:rsidR="0048124F" w:rsidRDefault="0048124F">
      <w:r>
        <w:separator/>
      </w:r>
    </w:p>
  </w:footnote>
  <w:footnote w:type="continuationSeparator" w:id="0">
    <w:p w14:paraId="43B4FFC1" w14:textId="77777777" w:rsidR="0048124F" w:rsidRDefault="004812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830D9"/>
    <w:multiLevelType w:val="hybridMultilevel"/>
    <w:tmpl w:val="6BB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20945"/>
    <w:multiLevelType w:val="hybridMultilevel"/>
    <w:tmpl w:val="A766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F"/>
    <w:rsid w:val="000049DD"/>
    <w:rsid w:val="00012A9E"/>
    <w:rsid w:val="000463E9"/>
    <w:rsid w:val="00056138"/>
    <w:rsid w:val="000C158F"/>
    <w:rsid w:val="000C6758"/>
    <w:rsid w:val="000D0DC9"/>
    <w:rsid w:val="000E4BD1"/>
    <w:rsid w:val="000E5A69"/>
    <w:rsid w:val="000E758D"/>
    <w:rsid w:val="00130F15"/>
    <w:rsid w:val="0013130F"/>
    <w:rsid w:val="0014674F"/>
    <w:rsid w:val="0017759C"/>
    <w:rsid w:val="001825D8"/>
    <w:rsid w:val="00193C9B"/>
    <w:rsid w:val="00194365"/>
    <w:rsid w:val="001C4410"/>
    <w:rsid w:val="001E1D90"/>
    <w:rsid w:val="001F36A8"/>
    <w:rsid w:val="00211D4D"/>
    <w:rsid w:val="0023478A"/>
    <w:rsid w:val="002351C2"/>
    <w:rsid w:val="002468DD"/>
    <w:rsid w:val="0025030F"/>
    <w:rsid w:val="00252E53"/>
    <w:rsid w:val="00255267"/>
    <w:rsid w:val="00256DE4"/>
    <w:rsid w:val="00280197"/>
    <w:rsid w:val="002C672A"/>
    <w:rsid w:val="00302541"/>
    <w:rsid w:val="0030321B"/>
    <w:rsid w:val="00305671"/>
    <w:rsid w:val="0032782C"/>
    <w:rsid w:val="00355C07"/>
    <w:rsid w:val="00366889"/>
    <w:rsid w:val="00373F5C"/>
    <w:rsid w:val="00396748"/>
    <w:rsid w:val="003A394C"/>
    <w:rsid w:val="003D7214"/>
    <w:rsid w:val="003E4A55"/>
    <w:rsid w:val="003E7EC6"/>
    <w:rsid w:val="00426D21"/>
    <w:rsid w:val="00445816"/>
    <w:rsid w:val="00446560"/>
    <w:rsid w:val="00446EE1"/>
    <w:rsid w:val="00450627"/>
    <w:rsid w:val="004556FE"/>
    <w:rsid w:val="00465256"/>
    <w:rsid w:val="0048124F"/>
    <w:rsid w:val="00485AB3"/>
    <w:rsid w:val="0049606E"/>
    <w:rsid w:val="00497AB8"/>
    <w:rsid w:val="004B284C"/>
    <w:rsid w:val="004B40EB"/>
    <w:rsid w:val="004C179E"/>
    <w:rsid w:val="004D479E"/>
    <w:rsid w:val="004D5083"/>
    <w:rsid w:val="004E1A18"/>
    <w:rsid w:val="004E24A2"/>
    <w:rsid w:val="004E61E2"/>
    <w:rsid w:val="004F321B"/>
    <w:rsid w:val="004F57BA"/>
    <w:rsid w:val="004F609F"/>
    <w:rsid w:val="005066E8"/>
    <w:rsid w:val="00540D44"/>
    <w:rsid w:val="005562DE"/>
    <w:rsid w:val="005565CB"/>
    <w:rsid w:val="00557FFC"/>
    <w:rsid w:val="00583DFF"/>
    <w:rsid w:val="00584878"/>
    <w:rsid w:val="005A52DC"/>
    <w:rsid w:val="005B71F0"/>
    <w:rsid w:val="006009D5"/>
    <w:rsid w:val="00604A83"/>
    <w:rsid w:val="00625AD0"/>
    <w:rsid w:val="00625DC6"/>
    <w:rsid w:val="00632965"/>
    <w:rsid w:val="00634B1C"/>
    <w:rsid w:val="006437CD"/>
    <w:rsid w:val="00643C3F"/>
    <w:rsid w:val="00654087"/>
    <w:rsid w:val="00677979"/>
    <w:rsid w:val="00686D15"/>
    <w:rsid w:val="00690F89"/>
    <w:rsid w:val="006A04F1"/>
    <w:rsid w:val="006A74A2"/>
    <w:rsid w:val="006C3FDA"/>
    <w:rsid w:val="006C67DC"/>
    <w:rsid w:val="006C6BF2"/>
    <w:rsid w:val="006D6A07"/>
    <w:rsid w:val="006E547C"/>
    <w:rsid w:val="006F1AEA"/>
    <w:rsid w:val="006F26D4"/>
    <w:rsid w:val="00717DC6"/>
    <w:rsid w:val="00754925"/>
    <w:rsid w:val="00755C54"/>
    <w:rsid w:val="00761C2D"/>
    <w:rsid w:val="00792C48"/>
    <w:rsid w:val="007B7CF7"/>
    <w:rsid w:val="007C3BCB"/>
    <w:rsid w:val="007C7C3F"/>
    <w:rsid w:val="008034F7"/>
    <w:rsid w:val="00820590"/>
    <w:rsid w:val="008351FE"/>
    <w:rsid w:val="00835567"/>
    <w:rsid w:val="00846D53"/>
    <w:rsid w:val="0084774A"/>
    <w:rsid w:val="0086630F"/>
    <w:rsid w:val="00870CC5"/>
    <w:rsid w:val="00873541"/>
    <w:rsid w:val="008834C4"/>
    <w:rsid w:val="00884395"/>
    <w:rsid w:val="00890093"/>
    <w:rsid w:val="00890346"/>
    <w:rsid w:val="008A088B"/>
    <w:rsid w:val="008B0848"/>
    <w:rsid w:val="008B1E35"/>
    <w:rsid w:val="008C227A"/>
    <w:rsid w:val="008C6CBC"/>
    <w:rsid w:val="008E757E"/>
    <w:rsid w:val="00917795"/>
    <w:rsid w:val="009219B4"/>
    <w:rsid w:val="00945EBD"/>
    <w:rsid w:val="009647F0"/>
    <w:rsid w:val="009705B4"/>
    <w:rsid w:val="0098463D"/>
    <w:rsid w:val="00985571"/>
    <w:rsid w:val="009B2693"/>
    <w:rsid w:val="009D3C36"/>
    <w:rsid w:val="009D5167"/>
    <w:rsid w:val="009E7641"/>
    <w:rsid w:val="009F263F"/>
    <w:rsid w:val="00A16AB6"/>
    <w:rsid w:val="00A23D52"/>
    <w:rsid w:val="00A46257"/>
    <w:rsid w:val="00A83152"/>
    <w:rsid w:val="00A90117"/>
    <w:rsid w:val="00A91C65"/>
    <w:rsid w:val="00AA7317"/>
    <w:rsid w:val="00AC548B"/>
    <w:rsid w:val="00AE011D"/>
    <w:rsid w:val="00AE1CA2"/>
    <w:rsid w:val="00B0295F"/>
    <w:rsid w:val="00B1776C"/>
    <w:rsid w:val="00B26D1E"/>
    <w:rsid w:val="00B40966"/>
    <w:rsid w:val="00B4474D"/>
    <w:rsid w:val="00B60CCC"/>
    <w:rsid w:val="00B6702E"/>
    <w:rsid w:val="00B91F35"/>
    <w:rsid w:val="00B92C68"/>
    <w:rsid w:val="00B9330C"/>
    <w:rsid w:val="00B9408D"/>
    <w:rsid w:val="00BA131C"/>
    <w:rsid w:val="00BB48B0"/>
    <w:rsid w:val="00BC3A05"/>
    <w:rsid w:val="00BD0806"/>
    <w:rsid w:val="00BE77BB"/>
    <w:rsid w:val="00BF0148"/>
    <w:rsid w:val="00BF2FDE"/>
    <w:rsid w:val="00C03BE6"/>
    <w:rsid w:val="00C17D67"/>
    <w:rsid w:val="00C2322F"/>
    <w:rsid w:val="00C327C8"/>
    <w:rsid w:val="00C35399"/>
    <w:rsid w:val="00C44D48"/>
    <w:rsid w:val="00C64FA4"/>
    <w:rsid w:val="00C7320D"/>
    <w:rsid w:val="00C768FB"/>
    <w:rsid w:val="00C820FA"/>
    <w:rsid w:val="00C84012"/>
    <w:rsid w:val="00C96DB3"/>
    <w:rsid w:val="00CA0771"/>
    <w:rsid w:val="00CA52BA"/>
    <w:rsid w:val="00CB6754"/>
    <w:rsid w:val="00CB6B21"/>
    <w:rsid w:val="00CB762A"/>
    <w:rsid w:val="00CD566E"/>
    <w:rsid w:val="00CE463E"/>
    <w:rsid w:val="00CF247E"/>
    <w:rsid w:val="00D11161"/>
    <w:rsid w:val="00D14480"/>
    <w:rsid w:val="00D1532C"/>
    <w:rsid w:val="00D205CB"/>
    <w:rsid w:val="00D4465A"/>
    <w:rsid w:val="00D47210"/>
    <w:rsid w:val="00D47813"/>
    <w:rsid w:val="00D52768"/>
    <w:rsid w:val="00D5503C"/>
    <w:rsid w:val="00D64EB5"/>
    <w:rsid w:val="00D6678E"/>
    <w:rsid w:val="00D71E80"/>
    <w:rsid w:val="00D76428"/>
    <w:rsid w:val="00D868C2"/>
    <w:rsid w:val="00D87ECF"/>
    <w:rsid w:val="00D91E66"/>
    <w:rsid w:val="00DC1984"/>
    <w:rsid w:val="00DE078E"/>
    <w:rsid w:val="00DF3C0A"/>
    <w:rsid w:val="00DF49AC"/>
    <w:rsid w:val="00DF534B"/>
    <w:rsid w:val="00E10214"/>
    <w:rsid w:val="00E1333D"/>
    <w:rsid w:val="00E47081"/>
    <w:rsid w:val="00E75B75"/>
    <w:rsid w:val="00E80FD8"/>
    <w:rsid w:val="00E95626"/>
    <w:rsid w:val="00EA6FFA"/>
    <w:rsid w:val="00EB3D57"/>
    <w:rsid w:val="00EC7A52"/>
    <w:rsid w:val="00ED0043"/>
    <w:rsid w:val="00F06BE8"/>
    <w:rsid w:val="00F207A9"/>
    <w:rsid w:val="00F415AC"/>
    <w:rsid w:val="00F74ED4"/>
    <w:rsid w:val="00F81432"/>
    <w:rsid w:val="00FC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character" w:customStyle="1" w:styleId="UnresolvedMention">
    <w:name w:val="Unresolved Mention"/>
    <w:basedOn w:val="DefaultParagraphFont"/>
    <w:uiPriority w:val="99"/>
    <w:semiHidden/>
    <w:unhideWhenUsed/>
    <w:rsid w:val="008A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hs.uga.edu/healthtopics/covid-vaccine" TargetMode="External"/><Relationship Id="rId18" Type="http://schemas.openxmlformats.org/officeDocument/2006/relationships/hyperlink" Target="https://dawgcheck.uga.edu/" TargetMode="External"/><Relationship Id="rId26" Type="http://schemas.openxmlformats.org/officeDocument/2006/relationships/hyperlink" Target="https://healthcenter.uga.edu/bewelluga/" TargetMode="External"/><Relationship Id="rId3" Type="http://schemas.openxmlformats.org/officeDocument/2006/relationships/styles" Target="styles.xml"/><Relationship Id="rId21" Type="http://schemas.openxmlformats.org/officeDocument/2006/relationships/hyperlink" Target="https://sco.uga.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tientportal.uhs.uga.edu/login_dualauthentication.aspx" TargetMode="External"/><Relationship Id="rId17" Type="http://schemas.openxmlformats.org/officeDocument/2006/relationships/hyperlink" Target="https://dawgcheck.uga.edu/" TargetMode="External"/><Relationship Id="rId25" Type="http://schemas.openxmlformats.org/officeDocument/2006/relationships/hyperlink" Target="https://healthcenter.uga.edu/emergenci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hs.uga.edu/info/emergencies" TargetMode="External"/><Relationship Id="rId20" Type="http://schemas.openxmlformats.org/officeDocument/2006/relationships/hyperlink" Target="mailto:sco@uga.edu" TargetMode="External"/><Relationship Id="rId29" Type="http://schemas.openxmlformats.org/officeDocument/2006/relationships/hyperlink" Target="https://www.uhs.uga.edu/bewelluga/bewellu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h.georgia.gov/dph-covid-19-guidance" TargetMode="External"/><Relationship Id="rId24" Type="http://schemas.openxmlformats.org/officeDocument/2006/relationships/hyperlink" Target="https://caps.uga.edu/ta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sg.edu/vaccination" TargetMode="External"/><Relationship Id="rId23" Type="http://schemas.openxmlformats.org/officeDocument/2006/relationships/hyperlink" Target="https://caps.uga.edu/" TargetMode="External"/><Relationship Id="rId28" Type="http://schemas.openxmlformats.org/officeDocument/2006/relationships/hyperlink" Target="https://sco.uga.edu/" TargetMode="External"/><Relationship Id="rId10" Type="http://schemas.openxmlformats.org/officeDocument/2006/relationships/hyperlink" Target="http://www.uga.edu/ovpi" TargetMode="External"/><Relationship Id="rId19" Type="http://schemas.openxmlformats.org/officeDocument/2006/relationships/hyperlink" Target="https://dawgcheck.uga.edu/" TargetMode="External"/><Relationship Id="rId31" Type="http://schemas.openxmlformats.org/officeDocument/2006/relationships/hyperlink" Target="https://www.uhs.uga.edu/bewelluga/bewelluga" TargetMode="External"/><Relationship Id="rId4" Type="http://schemas.openxmlformats.org/officeDocument/2006/relationships/settings" Target="settings.xml"/><Relationship Id="rId9" Type="http://schemas.openxmlformats.org/officeDocument/2006/relationships/hyperlink" Target="https://honesty.uga.edu/" TargetMode="External"/><Relationship Id="rId14" Type="http://schemas.openxmlformats.org/officeDocument/2006/relationships/hyperlink" Target="https://georgia.gov/covid-vaccine" TargetMode="External"/><Relationship Id="rId22" Type="http://schemas.openxmlformats.org/officeDocument/2006/relationships/hyperlink" Target="https://well-being.uga.edu/" TargetMode="External"/><Relationship Id="rId27" Type="http://schemas.openxmlformats.org/officeDocument/2006/relationships/hyperlink" Target="https://coronavirus.uga.edu/" TargetMode="External"/><Relationship Id="rId30" Type="http://schemas.openxmlformats.org/officeDocument/2006/relationships/hyperlink" Target="https://www.uhs.uga.edu/info/emergencie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A3BE-7892-43D2-A354-0B8CB77E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21203</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Merritt Brock</cp:lastModifiedBy>
  <cp:revision>2</cp:revision>
  <cp:lastPrinted>2019-01-14T17:04:00Z</cp:lastPrinted>
  <dcterms:created xsi:type="dcterms:W3CDTF">2022-01-07T16:58:00Z</dcterms:created>
  <dcterms:modified xsi:type="dcterms:W3CDTF">2022-01-07T16:58:00Z</dcterms:modified>
</cp:coreProperties>
</file>