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0" w:type="dxa"/>
        <w:tblLayout w:type="fixed"/>
        <w:tblLook w:val="00A0" w:firstRow="1" w:lastRow="0" w:firstColumn="1" w:lastColumn="0" w:noHBand="0" w:noVBand="0"/>
      </w:tblPr>
      <w:tblGrid>
        <w:gridCol w:w="2870"/>
        <w:gridCol w:w="630"/>
        <w:gridCol w:w="1620"/>
        <w:gridCol w:w="5220"/>
      </w:tblGrid>
      <w:tr w:rsidR="0017759C" w14:paraId="31F38611" w14:textId="77777777" w:rsidTr="00D76428">
        <w:tc>
          <w:tcPr>
            <w:tcW w:w="5120" w:type="dxa"/>
            <w:gridSpan w:val="3"/>
            <w:shd w:val="clear" w:color="auto" w:fill="auto"/>
          </w:tcPr>
          <w:p w14:paraId="6D5678FA" w14:textId="3E5DFD4D" w:rsidR="0017759C" w:rsidRDefault="00F53618" w:rsidP="00F53618">
            <w:pPr>
              <w:jc w:val="center"/>
            </w:pPr>
            <w:r>
              <w:rPr>
                <w:noProof/>
              </w:rPr>
              <w:drawing>
                <wp:inline distT="0" distB="0" distL="0" distR="0" wp14:anchorId="36CB5A3A" wp14:editId="12DF44CE">
                  <wp:extent cx="1798320" cy="5878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FS-2CB-768x25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0511" cy="604888"/>
                          </a:xfrm>
                          <a:prstGeom prst="rect">
                            <a:avLst/>
                          </a:prstGeom>
                        </pic:spPr>
                      </pic:pic>
                    </a:graphicData>
                  </a:graphic>
                </wp:inline>
              </w:drawing>
            </w:r>
          </w:p>
        </w:tc>
        <w:tc>
          <w:tcPr>
            <w:tcW w:w="5220" w:type="dxa"/>
            <w:shd w:val="clear" w:color="auto" w:fill="auto"/>
            <w:vAlign w:val="center"/>
          </w:tcPr>
          <w:p w14:paraId="296C11CC" w14:textId="77777777" w:rsidR="0017759C" w:rsidRPr="00C2322F" w:rsidRDefault="0017759C" w:rsidP="00C2322F">
            <w:pPr>
              <w:jc w:val="center"/>
              <w:rPr>
                <w:sz w:val="52"/>
              </w:rPr>
            </w:pPr>
            <w:r w:rsidRPr="00C2322F">
              <w:rPr>
                <w:sz w:val="52"/>
              </w:rPr>
              <w:t>SYLLABUS</w:t>
            </w:r>
          </w:p>
        </w:tc>
      </w:tr>
      <w:tr w:rsidR="0017759C" w:rsidRPr="00C2322F" w14:paraId="34FFCE38" w14:textId="77777777" w:rsidTr="00D76428">
        <w:tc>
          <w:tcPr>
            <w:tcW w:w="10340" w:type="dxa"/>
            <w:gridSpan w:val="4"/>
            <w:shd w:val="pct90" w:color="auto" w:fill="auto"/>
          </w:tcPr>
          <w:p w14:paraId="666B148A" w14:textId="77777777" w:rsidR="0017759C" w:rsidRPr="00C2322F" w:rsidRDefault="0017759C">
            <w:pPr>
              <w:rPr>
                <w:sz w:val="10"/>
              </w:rPr>
            </w:pPr>
          </w:p>
        </w:tc>
      </w:tr>
      <w:tr w:rsidR="00396748" w:rsidRPr="00C2322F" w14:paraId="4449F119" w14:textId="77777777" w:rsidTr="00D76428">
        <w:tc>
          <w:tcPr>
            <w:tcW w:w="10340" w:type="dxa"/>
            <w:gridSpan w:val="4"/>
            <w:shd w:val="clear" w:color="auto" w:fill="auto"/>
          </w:tcPr>
          <w:p w14:paraId="54971D40" w14:textId="77777777" w:rsidR="00396748" w:rsidRPr="00C2322F" w:rsidRDefault="00396748" w:rsidP="006F1AEA">
            <w:pPr>
              <w:rPr>
                <w:sz w:val="20"/>
              </w:rPr>
            </w:pPr>
          </w:p>
        </w:tc>
      </w:tr>
      <w:tr w:rsidR="0017759C" w:rsidRPr="00C2322F" w14:paraId="6AB4410D" w14:textId="77777777" w:rsidTr="00D76428">
        <w:trPr>
          <w:trHeight w:val="89"/>
        </w:trPr>
        <w:tc>
          <w:tcPr>
            <w:tcW w:w="10340" w:type="dxa"/>
            <w:gridSpan w:val="4"/>
            <w:shd w:val="clear" w:color="auto" w:fill="auto"/>
          </w:tcPr>
          <w:p w14:paraId="63B3258B" w14:textId="77777777" w:rsidR="0017759C" w:rsidRPr="00C2322F" w:rsidRDefault="0017759C">
            <w:pPr>
              <w:rPr>
                <w:sz w:val="10"/>
              </w:rPr>
            </w:pPr>
          </w:p>
        </w:tc>
      </w:tr>
      <w:tr w:rsidR="0017759C" w14:paraId="4C340386" w14:textId="77777777" w:rsidTr="00D76428">
        <w:trPr>
          <w:trHeight w:val="288"/>
        </w:trPr>
        <w:tc>
          <w:tcPr>
            <w:tcW w:w="3500" w:type="dxa"/>
            <w:gridSpan w:val="2"/>
            <w:shd w:val="clear" w:color="auto" w:fill="auto"/>
            <w:vAlign w:val="center"/>
          </w:tcPr>
          <w:p w14:paraId="20307DB8" w14:textId="58806B62" w:rsidR="0017759C" w:rsidRPr="00C2322F" w:rsidRDefault="00DE078E" w:rsidP="0017759C">
            <w:pPr>
              <w:rPr>
                <w:rFonts w:ascii="Arial" w:hAnsi="Arial" w:cs="Arial"/>
                <w:sz w:val="20"/>
              </w:rPr>
            </w:pPr>
            <w:r>
              <w:rPr>
                <w:rFonts w:ascii="Arial" w:hAnsi="Arial" w:cs="Arial"/>
                <w:sz w:val="20"/>
              </w:rPr>
              <w:t xml:space="preserve">POLS </w:t>
            </w:r>
            <w:r w:rsidR="008478F4">
              <w:rPr>
                <w:rFonts w:ascii="Arial" w:hAnsi="Arial" w:cs="Arial"/>
                <w:sz w:val="20"/>
              </w:rPr>
              <w:t>4700</w:t>
            </w:r>
          </w:p>
        </w:tc>
        <w:tc>
          <w:tcPr>
            <w:tcW w:w="6840" w:type="dxa"/>
            <w:gridSpan w:val="2"/>
            <w:shd w:val="clear" w:color="auto" w:fill="auto"/>
            <w:vAlign w:val="center"/>
          </w:tcPr>
          <w:p w14:paraId="7F53C831" w14:textId="533317BF" w:rsidR="0017759C" w:rsidRPr="00C2322F" w:rsidRDefault="008478F4" w:rsidP="00445816">
            <w:pPr>
              <w:jc w:val="right"/>
              <w:rPr>
                <w:rFonts w:ascii="Arial" w:hAnsi="Arial" w:cs="Arial"/>
                <w:sz w:val="20"/>
              </w:rPr>
            </w:pPr>
            <w:r>
              <w:rPr>
                <w:rFonts w:ascii="Arial" w:hAnsi="Arial" w:cs="Arial"/>
                <w:sz w:val="20"/>
              </w:rPr>
              <w:t>Constitutional Law: Powers</w:t>
            </w:r>
          </w:p>
        </w:tc>
      </w:tr>
      <w:tr w:rsidR="0017759C" w14:paraId="779490EE" w14:textId="77777777" w:rsidTr="00D76428">
        <w:trPr>
          <w:trHeight w:val="288"/>
        </w:trPr>
        <w:tc>
          <w:tcPr>
            <w:tcW w:w="3500" w:type="dxa"/>
            <w:gridSpan w:val="2"/>
            <w:shd w:val="clear" w:color="auto" w:fill="auto"/>
            <w:vAlign w:val="center"/>
          </w:tcPr>
          <w:p w14:paraId="0278121C" w14:textId="35AC467D" w:rsidR="0017759C" w:rsidRPr="00C2322F" w:rsidRDefault="008478F4" w:rsidP="0017759C">
            <w:pPr>
              <w:rPr>
                <w:rFonts w:ascii="Arial" w:hAnsi="Arial" w:cs="Arial"/>
                <w:sz w:val="20"/>
              </w:rPr>
            </w:pPr>
            <w:r>
              <w:rPr>
                <w:rFonts w:ascii="Arial" w:hAnsi="Arial" w:cs="Arial"/>
                <w:sz w:val="20"/>
              </w:rPr>
              <w:t>Spring 2021</w:t>
            </w:r>
          </w:p>
        </w:tc>
        <w:tc>
          <w:tcPr>
            <w:tcW w:w="6840" w:type="dxa"/>
            <w:gridSpan w:val="2"/>
            <w:shd w:val="clear" w:color="auto" w:fill="auto"/>
          </w:tcPr>
          <w:p w14:paraId="535B7B43" w14:textId="72E55120" w:rsidR="0017759C" w:rsidRPr="00C2322F" w:rsidRDefault="000463E9" w:rsidP="000463E9">
            <w:pPr>
              <w:jc w:val="right"/>
              <w:rPr>
                <w:rFonts w:ascii="Arial" w:hAnsi="Arial" w:cs="Arial"/>
                <w:sz w:val="20"/>
              </w:rPr>
            </w:pPr>
            <w:r>
              <w:rPr>
                <w:rFonts w:ascii="Arial" w:hAnsi="Arial" w:cs="Arial"/>
                <w:sz w:val="20"/>
              </w:rPr>
              <w:t xml:space="preserve">MWF </w:t>
            </w:r>
            <w:r w:rsidR="008478F4">
              <w:rPr>
                <w:rFonts w:ascii="Arial" w:hAnsi="Arial" w:cs="Arial"/>
                <w:sz w:val="20"/>
              </w:rPr>
              <w:t>9:10-10:00am</w:t>
            </w:r>
            <w:r w:rsidR="00F06BE8">
              <w:rPr>
                <w:rFonts w:ascii="Arial" w:hAnsi="Arial" w:cs="Arial"/>
                <w:sz w:val="20"/>
              </w:rPr>
              <w:t xml:space="preserve"> </w:t>
            </w:r>
          </w:p>
        </w:tc>
      </w:tr>
      <w:tr w:rsidR="0017759C" w14:paraId="117C81B9" w14:textId="77777777" w:rsidTr="00D76428">
        <w:trPr>
          <w:trHeight w:val="288"/>
        </w:trPr>
        <w:tc>
          <w:tcPr>
            <w:tcW w:w="3500" w:type="dxa"/>
            <w:gridSpan w:val="2"/>
            <w:shd w:val="clear" w:color="auto" w:fill="auto"/>
            <w:vAlign w:val="center"/>
          </w:tcPr>
          <w:p w14:paraId="1988F845" w14:textId="5883B3E1" w:rsidR="0017759C" w:rsidRPr="00C2322F" w:rsidRDefault="008478F4" w:rsidP="007C3BCB">
            <w:pPr>
              <w:rPr>
                <w:rFonts w:ascii="Arial" w:hAnsi="Arial" w:cs="Arial"/>
                <w:sz w:val="20"/>
              </w:rPr>
            </w:pPr>
            <w:r>
              <w:rPr>
                <w:rFonts w:ascii="Arial" w:hAnsi="Arial" w:cs="Arial"/>
                <w:sz w:val="20"/>
              </w:rPr>
              <w:t>Baldwin 102</w:t>
            </w:r>
          </w:p>
        </w:tc>
        <w:tc>
          <w:tcPr>
            <w:tcW w:w="6840" w:type="dxa"/>
            <w:gridSpan w:val="2"/>
            <w:shd w:val="clear" w:color="auto" w:fill="auto"/>
          </w:tcPr>
          <w:p w14:paraId="36A921A5" w14:textId="77777777" w:rsidR="0017759C" w:rsidRPr="00C2322F" w:rsidRDefault="0017759C" w:rsidP="0017759C">
            <w:pPr>
              <w:rPr>
                <w:rFonts w:ascii="Arial" w:hAnsi="Arial" w:cs="Arial"/>
                <w:sz w:val="20"/>
              </w:rPr>
            </w:pPr>
          </w:p>
        </w:tc>
      </w:tr>
      <w:tr w:rsidR="00396748" w:rsidRPr="00C2322F" w14:paraId="5F74BDE1" w14:textId="77777777" w:rsidTr="00D76428">
        <w:tc>
          <w:tcPr>
            <w:tcW w:w="10340" w:type="dxa"/>
            <w:gridSpan w:val="4"/>
            <w:shd w:val="clear" w:color="auto" w:fill="auto"/>
          </w:tcPr>
          <w:p w14:paraId="70895452" w14:textId="77777777" w:rsidR="00396748" w:rsidRPr="00C2322F" w:rsidRDefault="00396748" w:rsidP="006F1AEA">
            <w:pPr>
              <w:rPr>
                <w:rFonts w:ascii="Arial" w:hAnsi="Arial" w:cs="Arial"/>
                <w:sz w:val="20"/>
              </w:rPr>
            </w:pPr>
          </w:p>
        </w:tc>
      </w:tr>
      <w:tr w:rsidR="006A74A2" w:rsidRPr="00C2322F" w14:paraId="0DFDE0D0" w14:textId="77777777" w:rsidTr="00D76428">
        <w:tc>
          <w:tcPr>
            <w:tcW w:w="10340" w:type="dxa"/>
            <w:gridSpan w:val="4"/>
            <w:shd w:val="clear" w:color="auto" w:fill="auto"/>
            <w:vAlign w:val="center"/>
          </w:tcPr>
          <w:p w14:paraId="1CA556C1" w14:textId="77777777" w:rsidR="006A74A2" w:rsidRPr="00C2322F" w:rsidRDefault="006A74A2" w:rsidP="00C2322F">
            <w:pPr>
              <w:jc w:val="center"/>
              <w:rPr>
                <w:rFonts w:ascii="Arial" w:hAnsi="Arial" w:cs="Arial"/>
                <w:b/>
                <w:sz w:val="20"/>
              </w:rPr>
            </w:pPr>
            <w:r w:rsidRPr="00C2322F">
              <w:rPr>
                <w:rFonts w:ascii="Arial" w:hAnsi="Arial" w:cs="Arial"/>
                <w:b/>
                <w:sz w:val="20"/>
              </w:rPr>
              <w:t>Course Description and Prerequisites</w:t>
            </w:r>
          </w:p>
        </w:tc>
      </w:tr>
      <w:tr w:rsidR="006A74A2" w:rsidRPr="00C2322F" w14:paraId="0B3CCCBC" w14:textId="77777777" w:rsidTr="00D76428">
        <w:trPr>
          <w:trHeight w:val="89"/>
        </w:trPr>
        <w:tc>
          <w:tcPr>
            <w:tcW w:w="10340" w:type="dxa"/>
            <w:gridSpan w:val="4"/>
            <w:shd w:val="clear" w:color="auto" w:fill="auto"/>
          </w:tcPr>
          <w:p w14:paraId="5FA655F7" w14:textId="77777777" w:rsidR="006A74A2" w:rsidRPr="00C2322F" w:rsidRDefault="006A74A2" w:rsidP="006F1AEA">
            <w:pPr>
              <w:rPr>
                <w:rFonts w:ascii="Arial" w:hAnsi="Arial" w:cs="Arial"/>
                <w:sz w:val="10"/>
              </w:rPr>
            </w:pPr>
          </w:p>
        </w:tc>
      </w:tr>
      <w:tr w:rsidR="006A74A2" w:rsidRPr="00C2322F" w14:paraId="742224D7" w14:textId="77777777" w:rsidTr="00D76428">
        <w:tc>
          <w:tcPr>
            <w:tcW w:w="10340" w:type="dxa"/>
            <w:gridSpan w:val="4"/>
            <w:shd w:val="clear" w:color="auto" w:fill="auto"/>
          </w:tcPr>
          <w:p w14:paraId="36870045" w14:textId="1E7613C5" w:rsidR="008C6CBC" w:rsidRPr="00C2322F" w:rsidRDefault="008478F4" w:rsidP="009F263F">
            <w:pPr>
              <w:rPr>
                <w:rFonts w:ascii="Arial" w:hAnsi="Arial" w:cs="Arial"/>
                <w:sz w:val="20"/>
                <w:szCs w:val="20"/>
              </w:rPr>
            </w:pPr>
            <w:r w:rsidRPr="008478F4">
              <w:rPr>
                <w:rFonts w:ascii="Arial" w:hAnsi="Arial" w:cs="Arial"/>
                <w:sz w:val="20"/>
                <w:szCs w:val="20"/>
                <w:lang w:val="en"/>
              </w:rPr>
              <w:t>Supreme court cases on the separation of powers, national and state regulatory powers, the federal system, and the role of the courts.</w:t>
            </w:r>
            <w:r w:rsidR="00D76428" w:rsidRPr="00D76428">
              <w:rPr>
                <w:rFonts w:ascii="Arial" w:hAnsi="Arial" w:cs="Arial"/>
                <w:sz w:val="20"/>
                <w:szCs w:val="20"/>
                <w:lang w:val="en"/>
              </w:rPr>
              <w:br/>
            </w:r>
            <w:r w:rsidR="00D76428" w:rsidRPr="00D76428">
              <w:rPr>
                <w:rFonts w:ascii="Arial" w:hAnsi="Arial" w:cs="Arial"/>
                <w:b/>
                <w:bCs/>
                <w:sz w:val="20"/>
                <w:szCs w:val="20"/>
                <w:lang w:val="en"/>
              </w:rPr>
              <w:t>Prerequisites:</w:t>
            </w:r>
            <w:r w:rsidR="00D76428" w:rsidRPr="00D76428">
              <w:rPr>
                <w:rFonts w:ascii="Arial" w:hAnsi="Arial" w:cs="Arial"/>
                <w:sz w:val="20"/>
                <w:szCs w:val="20"/>
                <w:lang w:val="en"/>
              </w:rPr>
              <w:t xml:space="preserve"> </w:t>
            </w:r>
            <w:r w:rsidR="00D76428" w:rsidRPr="00485AB3">
              <w:rPr>
                <w:rFonts w:ascii="Arial" w:hAnsi="Arial" w:cs="Arial"/>
                <w:sz w:val="20"/>
                <w:szCs w:val="20"/>
                <w:lang w:val="en"/>
              </w:rPr>
              <w:t>POLS </w:t>
            </w:r>
            <w:r>
              <w:rPr>
                <w:rFonts w:ascii="Arial" w:hAnsi="Arial" w:cs="Arial"/>
                <w:sz w:val="20"/>
                <w:szCs w:val="20"/>
                <w:lang w:val="en"/>
              </w:rPr>
              <w:t>1101.</w:t>
            </w:r>
          </w:p>
        </w:tc>
      </w:tr>
      <w:tr w:rsidR="006A74A2" w:rsidRPr="00C2322F" w14:paraId="6D97A2B5" w14:textId="77777777" w:rsidTr="00D76428">
        <w:tc>
          <w:tcPr>
            <w:tcW w:w="10340" w:type="dxa"/>
            <w:gridSpan w:val="4"/>
            <w:shd w:val="clear" w:color="auto" w:fill="auto"/>
          </w:tcPr>
          <w:p w14:paraId="5CEC3AC6" w14:textId="77777777" w:rsidR="006A74A2" w:rsidRPr="00C2322F" w:rsidRDefault="006A74A2" w:rsidP="006F1AEA">
            <w:pPr>
              <w:rPr>
                <w:rFonts w:ascii="Arial" w:hAnsi="Arial" w:cs="Arial"/>
                <w:sz w:val="20"/>
              </w:rPr>
            </w:pPr>
          </w:p>
        </w:tc>
      </w:tr>
      <w:tr w:rsidR="0017759C" w:rsidRPr="00C2322F" w14:paraId="0EA2E819" w14:textId="77777777" w:rsidTr="00D76428">
        <w:tc>
          <w:tcPr>
            <w:tcW w:w="10340" w:type="dxa"/>
            <w:gridSpan w:val="4"/>
            <w:shd w:val="clear" w:color="auto" w:fill="auto"/>
            <w:vAlign w:val="center"/>
          </w:tcPr>
          <w:p w14:paraId="700F1B9A" w14:textId="77777777" w:rsidR="0017759C" w:rsidRPr="00C2322F" w:rsidRDefault="0017759C" w:rsidP="00C2322F">
            <w:pPr>
              <w:jc w:val="center"/>
              <w:rPr>
                <w:rFonts w:ascii="Arial" w:hAnsi="Arial" w:cs="Arial"/>
                <w:b/>
                <w:sz w:val="20"/>
              </w:rPr>
            </w:pPr>
            <w:r w:rsidRPr="00C2322F">
              <w:rPr>
                <w:rFonts w:ascii="Arial" w:hAnsi="Arial" w:cs="Arial"/>
                <w:b/>
                <w:sz w:val="20"/>
              </w:rPr>
              <w:t>Instructor Information</w:t>
            </w:r>
          </w:p>
        </w:tc>
      </w:tr>
      <w:tr w:rsidR="0017759C" w:rsidRPr="00C2322F" w14:paraId="3AF0205D" w14:textId="77777777" w:rsidTr="00D76428">
        <w:trPr>
          <w:trHeight w:val="89"/>
        </w:trPr>
        <w:tc>
          <w:tcPr>
            <w:tcW w:w="10340" w:type="dxa"/>
            <w:gridSpan w:val="4"/>
            <w:shd w:val="clear" w:color="auto" w:fill="auto"/>
          </w:tcPr>
          <w:p w14:paraId="1AAEB205" w14:textId="77777777" w:rsidR="0017759C" w:rsidRPr="00C2322F" w:rsidRDefault="0017759C">
            <w:pPr>
              <w:rPr>
                <w:rFonts w:ascii="Arial" w:hAnsi="Arial" w:cs="Arial"/>
                <w:sz w:val="10"/>
              </w:rPr>
            </w:pPr>
          </w:p>
        </w:tc>
      </w:tr>
      <w:tr w:rsidR="0017759C" w:rsidRPr="00C2322F" w14:paraId="43CA3E61" w14:textId="77777777" w:rsidTr="00D76428">
        <w:trPr>
          <w:trHeight w:val="288"/>
        </w:trPr>
        <w:tc>
          <w:tcPr>
            <w:tcW w:w="2870" w:type="dxa"/>
            <w:shd w:val="clear" w:color="auto" w:fill="auto"/>
            <w:vAlign w:val="center"/>
          </w:tcPr>
          <w:p w14:paraId="2916729E" w14:textId="77777777" w:rsidR="0017759C" w:rsidRPr="00C2322F" w:rsidRDefault="00D76428" w:rsidP="0017759C">
            <w:pPr>
              <w:rPr>
                <w:rFonts w:ascii="Arial" w:hAnsi="Arial" w:cs="Arial"/>
                <w:sz w:val="20"/>
              </w:rPr>
            </w:pPr>
            <w:r>
              <w:rPr>
                <w:rFonts w:ascii="Arial" w:hAnsi="Arial" w:cs="Arial"/>
                <w:sz w:val="20"/>
              </w:rPr>
              <w:t>Garrett Vande Kamp</w:t>
            </w:r>
          </w:p>
        </w:tc>
        <w:tc>
          <w:tcPr>
            <w:tcW w:w="7470" w:type="dxa"/>
            <w:gridSpan w:val="3"/>
            <w:shd w:val="clear" w:color="auto" w:fill="auto"/>
          </w:tcPr>
          <w:p w14:paraId="5D37E147" w14:textId="77777777" w:rsidR="0017759C" w:rsidRPr="00C2322F" w:rsidRDefault="0017759C">
            <w:pPr>
              <w:rPr>
                <w:rFonts w:ascii="Arial" w:hAnsi="Arial" w:cs="Arial"/>
                <w:sz w:val="20"/>
              </w:rPr>
            </w:pPr>
          </w:p>
        </w:tc>
      </w:tr>
      <w:tr w:rsidR="006A74A2" w:rsidRPr="00C2322F" w14:paraId="375C9AE7" w14:textId="77777777" w:rsidTr="00D76428">
        <w:trPr>
          <w:trHeight w:val="288"/>
        </w:trPr>
        <w:tc>
          <w:tcPr>
            <w:tcW w:w="2870" w:type="dxa"/>
            <w:shd w:val="clear" w:color="auto" w:fill="auto"/>
            <w:vAlign w:val="center"/>
          </w:tcPr>
          <w:p w14:paraId="40C7E40F" w14:textId="4B92C9F2" w:rsidR="006A74A2" w:rsidRPr="00C2322F" w:rsidRDefault="00D76428" w:rsidP="006F1AEA">
            <w:pPr>
              <w:rPr>
                <w:rFonts w:ascii="Arial" w:hAnsi="Arial" w:cs="Arial"/>
                <w:sz w:val="20"/>
              </w:rPr>
            </w:pPr>
            <w:r>
              <w:rPr>
                <w:rFonts w:ascii="Arial" w:hAnsi="Arial" w:cs="Arial"/>
                <w:sz w:val="20"/>
              </w:rPr>
              <w:t>garrettvandekamp@</w:t>
            </w:r>
            <w:r w:rsidR="00072F6D">
              <w:rPr>
                <w:rFonts w:ascii="Arial" w:hAnsi="Arial" w:cs="Arial"/>
                <w:sz w:val="20"/>
              </w:rPr>
              <w:t>uga</w:t>
            </w:r>
            <w:r>
              <w:rPr>
                <w:rFonts w:ascii="Arial" w:hAnsi="Arial" w:cs="Arial"/>
                <w:sz w:val="20"/>
              </w:rPr>
              <w:t>.edu</w:t>
            </w:r>
          </w:p>
        </w:tc>
        <w:tc>
          <w:tcPr>
            <w:tcW w:w="7470" w:type="dxa"/>
            <w:gridSpan w:val="3"/>
            <w:shd w:val="clear" w:color="auto" w:fill="auto"/>
          </w:tcPr>
          <w:p w14:paraId="4F84DE9A" w14:textId="77777777" w:rsidR="006A74A2" w:rsidRPr="00C2322F" w:rsidRDefault="006A74A2" w:rsidP="006F1AEA">
            <w:pPr>
              <w:rPr>
                <w:rFonts w:ascii="Arial" w:hAnsi="Arial" w:cs="Arial"/>
                <w:sz w:val="20"/>
              </w:rPr>
            </w:pPr>
          </w:p>
        </w:tc>
      </w:tr>
      <w:tr w:rsidR="006A74A2" w:rsidRPr="00C2322F" w14:paraId="326DE9CA" w14:textId="77777777" w:rsidTr="00D76428">
        <w:trPr>
          <w:trHeight w:val="288"/>
        </w:trPr>
        <w:tc>
          <w:tcPr>
            <w:tcW w:w="2870" w:type="dxa"/>
            <w:shd w:val="clear" w:color="auto" w:fill="auto"/>
            <w:vAlign w:val="center"/>
          </w:tcPr>
          <w:p w14:paraId="76AF6B67" w14:textId="6C3D54CE" w:rsidR="006A74A2" w:rsidRPr="00C2322F" w:rsidRDefault="00072F6D" w:rsidP="006F1AEA">
            <w:pPr>
              <w:rPr>
                <w:rFonts w:ascii="Arial" w:hAnsi="Arial" w:cs="Arial"/>
                <w:sz w:val="20"/>
              </w:rPr>
            </w:pPr>
            <w:r>
              <w:rPr>
                <w:rFonts w:ascii="Arial" w:hAnsi="Arial" w:cs="Arial"/>
                <w:sz w:val="20"/>
              </w:rPr>
              <w:t>Baldwin</w:t>
            </w:r>
            <w:r w:rsidR="004E61E2">
              <w:rPr>
                <w:rFonts w:ascii="Arial" w:hAnsi="Arial" w:cs="Arial"/>
                <w:sz w:val="20"/>
              </w:rPr>
              <w:t xml:space="preserve"> </w:t>
            </w:r>
            <w:r w:rsidR="00080E64">
              <w:rPr>
                <w:rFonts w:ascii="Arial" w:hAnsi="Arial" w:cs="Arial"/>
                <w:sz w:val="20"/>
              </w:rPr>
              <w:t>4</w:t>
            </w:r>
            <w:r w:rsidR="004E61E2">
              <w:rPr>
                <w:rFonts w:ascii="Arial" w:hAnsi="Arial" w:cs="Arial"/>
                <w:sz w:val="20"/>
              </w:rPr>
              <w:t>0</w:t>
            </w:r>
            <w:r w:rsidR="00080E64">
              <w:rPr>
                <w:rFonts w:ascii="Arial" w:hAnsi="Arial" w:cs="Arial"/>
                <w:sz w:val="20"/>
              </w:rPr>
              <w:t>9</w:t>
            </w:r>
          </w:p>
        </w:tc>
        <w:tc>
          <w:tcPr>
            <w:tcW w:w="7470" w:type="dxa"/>
            <w:gridSpan w:val="3"/>
            <w:shd w:val="clear" w:color="auto" w:fill="auto"/>
          </w:tcPr>
          <w:p w14:paraId="42B8464E" w14:textId="77777777" w:rsidR="006A74A2" w:rsidRPr="00C2322F" w:rsidRDefault="006A74A2" w:rsidP="006F1AEA">
            <w:pPr>
              <w:rPr>
                <w:rFonts w:ascii="Arial" w:hAnsi="Arial" w:cs="Arial"/>
                <w:sz w:val="20"/>
              </w:rPr>
            </w:pPr>
          </w:p>
        </w:tc>
      </w:tr>
      <w:tr w:rsidR="0017759C" w:rsidRPr="00C2322F" w14:paraId="6C11158C" w14:textId="77777777" w:rsidTr="00D76428">
        <w:trPr>
          <w:trHeight w:val="288"/>
        </w:trPr>
        <w:tc>
          <w:tcPr>
            <w:tcW w:w="2870" w:type="dxa"/>
            <w:shd w:val="clear" w:color="auto" w:fill="auto"/>
            <w:vAlign w:val="center"/>
          </w:tcPr>
          <w:p w14:paraId="3DAEC0DA" w14:textId="77777777" w:rsidR="0017759C" w:rsidRPr="00C2322F" w:rsidRDefault="00D76428" w:rsidP="0017759C">
            <w:pPr>
              <w:rPr>
                <w:rFonts w:ascii="Arial" w:hAnsi="Arial" w:cs="Arial"/>
                <w:sz w:val="20"/>
              </w:rPr>
            </w:pPr>
            <w:r>
              <w:rPr>
                <w:rFonts w:ascii="Arial" w:hAnsi="Arial" w:cs="Arial"/>
                <w:sz w:val="20"/>
              </w:rPr>
              <w:t>Tuesday 10:00am-Noon</w:t>
            </w:r>
          </w:p>
        </w:tc>
        <w:tc>
          <w:tcPr>
            <w:tcW w:w="7470" w:type="dxa"/>
            <w:gridSpan w:val="3"/>
            <w:shd w:val="clear" w:color="auto" w:fill="auto"/>
          </w:tcPr>
          <w:p w14:paraId="74293632" w14:textId="77777777" w:rsidR="0017759C" w:rsidRPr="00C2322F" w:rsidRDefault="0017759C">
            <w:pPr>
              <w:rPr>
                <w:rFonts w:ascii="Arial" w:hAnsi="Arial" w:cs="Arial"/>
                <w:sz w:val="20"/>
              </w:rPr>
            </w:pPr>
          </w:p>
        </w:tc>
      </w:tr>
      <w:tr w:rsidR="00396748" w:rsidRPr="00C2322F" w14:paraId="1E4F94B5" w14:textId="77777777" w:rsidTr="00D76428">
        <w:tc>
          <w:tcPr>
            <w:tcW w:w="10340" w:type="dxa"/>
            <w:gridSpan w:val="4"/>
            <w:shd w:val="clear" w:color="auto" w:fill="auto"/>
          </w:tcPr>
          <w:p w14:paraId="66747F96" w14:textId="77777777" w:rsidR="000463E9" w:rsidRPr="00C2322F" w:rsidRDefault="000463E9" w:rsidP="006F1AEA">
            <w:pPr>
              <w:rPr>
                <w:rFonts w:ascii="Arial" w:hAnsi="Arial" w:cs="Arial"/>
                <w:sz w:val="20"/>
              </w:rPr>
            </w:pPr>
          </w:p>
        </w:tc>
      </w:tr>
      <w:tr w:rsidR="00654087" w:rsidRPr="00C2322F" w14:paraId="5A9024C0" w14:textId="77777777" w:rsidTr="00D76428">
        <w:tc>
          <w:tcPr>
            <w:tcW w:w="10340" w:type="dxa"/>
            <w:gridSpan w:val="4"/>
            <w:shd w:val="clear" w:color="auto" w:fill="auto"/>
          </w:tcPr>
          <w:p w14:paraId="6E0896DA" w14:textId="77777777" w:rsidR="00654087" w:rsidRPr="00C2322F" w:rsidRDefault="00654087" w:rsidP="00C2322F">
            <w:pPr>
              <w:jc w:val="center"/>
              <w:rPr>
                <w:rFonts w:ascii="Arial" w:hAnsi="Arial" w:cs="Arial"/>
                <w:b/>
                <w:sz w:val="20"/>
              </w:rPr>
            </w:pPr>
            <w:r w:rsidRPr="00C2322F">
              <w:rPr>
                <w:rFonts w:ascii="Arial" w:hAnsi="Arial" w:cs="Arial"/>
                <w:b/>
                <w:sz w:val="20"/>
              </w:rPr>
              <w:t>Textbook and/or Resource Material</w:t>
            </w:r>
          </w:p>
        </w:tc>
      </w:tr>
      <w:tr w:rsidR="00654087" w:rsidRPr="00C2322F" w14:paraId="0BA4969D" w14:textId="77777777" w:rsidTr="00D76428">
        <w:trPr>
          <w:trHeight w:val="89"/>
        </w:trPr>
        <w:tc>
          <w:tcPr>
            <w:tcW w:w="10340" w:type="dxa"/>
            <w:gridSpan w:val="4"/>
            <w:shd w:val="clear" w:color="auto" w:fill="auto"/>
          </w:tcPr>
          <w:p w14:paraId="66DEC7D1" w14:textId="77777777" w:rsidR="00654087" w:rsidRPr="00C2322F" w:rsidRDefault="00654087" w:rsidP="0017759C">
            <w:pPr>
              <w:rPr>
                <w:rFonts w:ascii="Arial" w:hAnsi="Arial" w:cs="Arial"/>
                <w:sz w:val="10"/>
              </w:rPr>
            </w:pPr>
          </w:p>
        </w:tc>
      </w:tr>
      <w:tr w:rsidR="00654087" w:rsidRPr="00C2322F" w14:paraId="68E7AC89" w14:textId="77777777" w:rsidTr="00D76428">
        <w:tc>
          <w:tcPr>
            <w:tcW w:w="10340" w:type="dxa"/>
            <w:gridSpan w:val="4"/>
            <w:shd w:val="clear" w:color="auto" w:fill="auto"/>
          </w:tcPr>
          <w:p w14:paraId="4432B7E9" w14:textId="719CE5F4" w:rsidR="00654087" w:rsidRDefault="000C158F" w:rsidP="0017759C">
            <w:pPr>
              <w:rPr>
                <w:rFonts w:ascii="Arial" w:hAnsi="Arial" w:cs="Arial"/>
                <w:sz w:val="20"/>
              </w:rPr>
            </w:pPr>
            <w:r w:rsidRPr="000C158F">
              <w:rPr>
                <w:rFonts w:ascii="Arial" w:hAnsi="Arial" w:cs="Arial"/>
                <w:sz w:val="20"/>
              </w:rPr>
              <w:t>Textbook</w:t>
            </w:r>
            <w:r>
              <w:rPr>
                <w:rFonts w:ascii="Arial" w:hAnsi="Arial" w:cs="Arial"/>
                <w:i/>
                <w:sz w:val="20"/>
              </w:rPr>
              <w:t xml:space="preserve">: </w:t>
            </w:r>
            <w:r w:rsidR="00193C9B">
              <w:rPr>
                <w:rFonts w:ascii="Arial" w:hAnsi="Arial" w:cs="Arial"/>
                <w:i/>
                <w:sz w:val="20"/>
              </w:rPr>
              <w:t xml:space="preserve">Constitutional Law for a Changing America: </w:t>
            </w:r>
            <w:r w:rsidR="00FE5457">
              <w:rPr>
                <w:rFonts w:ascii="Arial" w:hAnsi="Arial" w:cs="Arial"/>
                <w:i/>
                <w:sz w:val="20"/>
              </w:rPr>
              <w:t>Institutional Powers and Constraints</w:t>
            </w:r>
            <w:r w:rsidR="00193C9B">
              <w:rPr>
                <w:rFonts w:ascii="Arial" w:hAnsi="Arial" w:cs="Arial"/>
                <w:sz w:val="20"/>
              </w:rPr>
              <w:t>, 9</w:t>
            </w:r>
            <w:r w:rsidR="00D76428" w:rsidRPr="00D76428">
              <w:rPr>
                <w:rFonts w:ascii="Arial" w:hAnsi="Arial" w:cs="Arial"/>
                <w:sz w:val="20"/>
                <w:vertAlign w:val="superscript"/>
              </w:rPr>
              <w:t>th</w:t>
            </w:r>
            <w:r w:rsidR="00D76428">
              <w:rPr>
                <w:rFonts w:ascii="Arial" w:hAnsi="Arial" w:cs="Arial"/>
                <w:sz w:val="20"/>
              </w:rPr>
              <w:t xml:space="preserve"> Edition. </w:t>
            </w:r>
            <w:r w:rsidR="00193C9B">
              <w:rPr>
                <w:rFonts w:ascii="Arial" w:hAnsi="Arial" w:cs="Arial"/>
                <w:sz w:val="20"/>
              </w:rPr>
              <w:t>Epst</w:t>
            </w:r>
            <w:r w:rsidR="009F263F">
              <w:rPr>
                <w:rFonts w:ascii="Arial" w:hAnsi="Arial" w:cs="Arial"/>
                <w:sz w:val="20"/>
              </w:rPr>
              <w:t>ein, Lee and Thomas G. Walker.</w:t>
            </w:r>
          </w:p>
          <w:p w14:paraId="68C64C4B" w14:textId="77777777" w:rsidR="00632965" w:rsidRDefault="00632965" w:rsidP="0017759C">
            <w:pPr>
              <w:rPr>
                <w:rFonts w:ascii="Arial" w:hAnsi="Arial" w:cs="Arial"/>
                <w:sz w:val="20"/>
              </w:rPr>
            </w:pPr>
            <w:r>
              <w:rPr>
                <w:rFonts w:ascii="Arial" w:hAnsi="Arial" w:cs="Arial"/>
                <w:sz w:val="20"/>
              </w:rPr>
              <w:t>All other necessary materials will be provided by the professor or through access to the university’s resources available freely to students.</w:t>
            </w:r>
          </w:p>
          <w:p w14:paraId="1A69D39B" w14:textId="77777777" w:rsidR="00884395" w:rsidRPr="00D76428" w:rsidRDefault="00884395" w:rsidP="0017759C">
            <w:pPr>
              <w:rPr>
                <w:rFonts w:ascii="Arial" w:hAnsi="Arial" w:cs="Arial"/>
                <w:sz w:val="20"/>
              </w:rPr>
            </w:pPr>
          </w:p>
        </w:tc>
      </w:tr>
      <w:tr w:rsidR="00396748" w:rsidRPr="00C2322F" w14:paraId="28A8E308" w14:textId="77777777" w:rsidTr="00D76428">
        <w:tc>
          <w:tcPr>
            <w:tcW w:w="10340" w:type="dxa"/>
            <w:gridSpan w:val="4"/>
            <w:shd w:val="clear" w:color="auto" w:fill="auto"/>
          </w:tcPr>
          <w:p w14:paraId="1AD2EBB3" w14:textId="77777777" w:rsidR="00396748" w:rsidRPr="00C2322F" w:rsidRDefault="00396748" w:rsidP="006F1AEA">
            <w:pPr>
              <w:rPr>
                <w:rFonts w:ascii="Arial" w:hAnsi="Arial" w:cs="Arial"/>
                <w:sz w:val="20"/>
              </w:rPr>
            </w:pPr>
          </w:p>
        </w:tc>
      </w:tr>
      <w:tr w:rsidR="00884395" w:rsidRPr="00C2322F" w14:paraId="7D0C55C4" w14:textId="77777777" w:rsidTr="00D76428">
        <w:tc>
          <w:tcPr>
            <w:tcW w:w="10340" w:type="dxa"/>
            <w:gridSpan w:val="4"/>
            <w:shd w:val="clear" w:color="auto" w:fill="auto"/>
          </w:tcPr>
          <w:p w14:paraId="721A7BCD" w14:textId="77777777" w:rsidR="00884395" w:rsidRPr="00C2322F" w:rsidRDefault="00884395" w:rsidP="00884395">
            <w:pPr>
              <w:jc w:val="center"/>
              <w:rPr>
                <w:rFonts w:ascii="Arial" w:hAnsi="Arial" w:cs="Arial"/>
                <w:b/>
                <w:sz w:val="20"/>
              </w:rPr>
            </w:pPr>
            <w:r>
              <w:rPr>
                <w:rFonts w:ascii="Arial" w:hAnsi="Arial" w:cs="Arial"/>
                <w:b/>
                <w:sz w:val="20"/>
              </w:rPr>
              <w:t>Attendance Policy</w:t>
            </w:r>
          </w:p>
        </w:tc>
      </w:tr>
      <w:tr w:rsidR="00884395" w:rsidRPr="00C2322F" w14:paraId="29F7DE53" w14:textId="77777777" w:rsidTr="0014674F">
        <w:tc>
          <w:tcPr>
            <w:tcW w:w="10340" w:type="dxa"/>
            <w:gridSpan w:val="4"/>
            <w:shd w:val="clear" w:color="auto" w:fill="auto"/>
          </w:tcPr>
          <w:p w14:paraId="3FE621CE" w14:textId="6F6D2181" w:rsidR="00E912A6" w:rsidRDefault="00CE6E0D" w:rsidP="00255267">
            <w:pPr>
              <w:tabs>
                <w:tab w:val="center" w:pos="5062"/>
              </w:tabs>
              <w:rPr>
                <w:rFonts w:ascii="Arial" w:hAnsi="Arial" w:cs="Arial"/>
                <w:sz w:val="20"/>
                <w:szCs w:val="20"/>
              </w:rPr>
            </w:pPr>
            <w:r>
              <w:rPr>
                <w:rFonts w:ascii="Arial" w:hAnsi="Arial" w:cs="Arial"/>
                <w:sz w:val="20"/>
                <w:szCs w:val="20"/>
              </w:rPr>
              <w:t xml:space="preserve">The class will be taught in a </w:t>
            </w:r>
            <w:proofErr w:type="spellStart"/>
            <w:r>
              <w:rPr>
                <w:rFonts w:ascii="Arial" w:hAnsi="Arial" w:cs="Arial"/>
                <w:sz w:val="20"/>
                <w:szCs w:val="20"/>
              </w:rPr>
              <w:t>Hyflex</w:t>
            </w:r>
            <w:proofErr w:type="spellEnd"/>
            <w:r>
              <w:rPr>
                <w:rFonts w:ascii="Arial" w:hAnsi="Arial" w:cs="Arial"/>
                <w:sz w:val="20"/>
                <w:szCs w:val="20"/>
              </w:rPr>
              <w:t xml:space="preserve"> format. </w:t>
            </w:r>
            <w:r w:rsidR="00884395">
              <w:rPr>
                <w:rFonts w:ascii="Arial" w:hAnsi="Arial" w:cs="Arial"/>
                <w:sz w:val="20"/>
                <w:szCs w:val="20"/>
              </w:rPr>
              <w:t>Attendance will be taken in cla</w:t>
            </w:r>
            <w:r w:rsidR="00255267">
              <w:rPr>
                <w:rFonts w:ascii="Arial" w:hAnsi="Arial" w:cs="Arial"/>
                <w:sz w:val="20"/>
                <w:szCs w:val="20"/>
              </w:rPr>
              <w:t>ss for the instructor’s records. Though attendance to any given class is generally discretionary, it may inform students’ participation grades.</w:t>
            </w:r>
            <w:r w:rsidR="00E912A6">
              <w:rPr>
                <w:rFonts w:ascii="Arial" w:hAnsi="Arial" w:cs="Arial"/>
                <w:sz w:val="20"/>
                <w:szCs w:val="20"/>
              </w:rPr>
              <w:t xml:space="preserve"> </w:t>
            </w:r>
            <w:r w:rsidR="00D1532C">
              <w:rPr>
                <w:rFonts w:ascii="Arial" w:hAnsi="Arial" w:cs="Arial"/>
                <w:sz w:val="20"/>
                <w:szCs w:val="20"/>
              </w:rPr>
              <w:t xml:space="preserve">Attendance to </w:t>
            </w:r>
            <w:r w:rsidR="00255267">
              <w:rPr>
                <w:rFonts w:ascii="Arial" w:hAnsi="Arial" w:cs="Arial"/>
                <w:sz w:val="20"/>
                <w:szCs w:val="20"/>
              </w:rPr>
              <w:t xml:space="preserve">quizzes and </w:t>
            </w:r>
            <w:r w:rsidR="00D1532C">
              <w:rPr>
                <w:rFonts w:ascii="Arial" w:hAnsi="Arial" w:cs="Arial"/>
                <w:sz w:val="20"/>
                <w:szCs w:val="20"/>
              </w:rPr>
              <w:t xml:space="preserve">exams is mandatory. </w:t>
            </w:r>
            <w:r w:rsidR="00255267">
              <w:rPr>
                <w:rFonts w:ascii="Arial" w:hAnsi="Arial" w:cs="Arial"/>
                <w:sz w:val="20"/>
                <w:szCs w:val="20"/>
              </w:rPr>
              <w:t xml:space="preserve">Attendance is also mandatory for a student who will be presenting on a given day. </w:t>
            </w:r>
          </w:p>
          <w:p w14:paraId="2551F9F6" w14:textId="77777777" w:rsidR="00E912A6" w:rsidRDefault="00E912A6" w:rsidP="00255267">
            <w:pPr>
              <w:tabs>
                <w:tab w:val="center" w:pos="5062"/>
              </w:tabs>
              <w:rPr>
                <w:rFonts w:ascii="Arial" w:hAnsi="Arial" w:cs="Arial"/>
                <w:sz w:val="20"/>
                <w:szCs w:val="20"/>
              </w:rPr>
            </w:pPr>
          </w:p>
          <w:p w14:paraId="0E6A958C" w14:textId="792DC895" w:rsidR="00130F15" w:rsidRPr="00E912A6" w:rsidRDefault="00E912A6" w:rsidP="00255267">
            <w:pPr>
              <w:tabs>
                <w:tab w:val="center" w:pos="5062"/>
              </w:tabs>
              <w:rPr>
                <w:rFonts w:ascii="Arial" w:hAnsi="Arial" w:cs="Arial"/>
                <w:sz w:val="20"/>
                <w:szCs w:val="20"/>
              </w:rPr>
            </w:pPr>
            <w:r>
              <w:rPr>
                <w:rFonts w:ascii="Arial" w:hAnsi="Arial" w:cs="Arial"/>
                <w:sz w:val="20"/>
                <w:szCs w:val="20"/>
              </w:rPr>
              <w:t xml:space="preserve">Make-up opportunities will only be provided for students with unforeseen, unavoidable absences. All such absences will require documentation for verification. If the class is taught in a </w:t>
            </w:r>
            <w:proofErr w:type="spellStart"/>
            <w:r>
              <w:rPr>
                <w:rFonts w:ascii="Arial" w:hAnsi="Arial" w:cs="Arial"/>
                <w:sz w:val="20"/>
                <w:szCs w:val="20"/>
              </w:rPr>
              <w:t>Hyflex</w:t>
            </w:r>
            <w:proofErr w:type="spellEnd"/>
            <w:r>
              <w:rPr>
                <w:rFonts w:ascii="Arial" w:hAnsi="Arial" w:cs="Arial"/>
                <w:sz w:val="20"/>
                <w:szCs w:val="20"/>
              </w:rPr>
              <w:t xml:space="preserve"> or online format, concern over the spread of infectious diseases is not grounds for make-up opportunities.</w:t>
            </w:r>
          </w:p>
        </w:tc>
      </w:tr>
      <w:tr w:rsidR="00884395" w:rsidRPr="00C2322F" w14:paraId="43A58F88" w14:textId="77777777" w:rsidTr="0014674F">
        <w:tc>
          <w:tcPr>
            <w:tcW w:w="10340" w:type="dxa"/>
            <w:gridSpan w:val="4"/>
            <w:shd w:val="clear" w:color="auto" w:fill="auto"/>
          </w:tcPr>
          <w:p w14:paraId="2518CE0D" w14:textId="77777777" w:rsidR="00884395" w:rsidRPr="00C2322F" w:rsidRDefault="00884395" w:rsidP="0014674F">
            <w:pPr>
              <w:rPr>
                <w:rFonts w:ascii="Arial" w:hAnsi="Arial" w:cs="Arial"/>
                <w:sz w:val="20"/>
              </w:rPr>
            </w:pPr>
          </w:p>
        </w:tc>
      </w:tr>
      <w:tr w:rsidR="00884395" w:rsidRPr="00C2322F" w14:paraId="6B786FB5" w14:textId="77777777" w:rsidTr="0014674F">
        <w:tc>
          <w:tcPr>
            <w:tcW w:w="10340" w:type="dxa"/>
            <w:gridSpan w:val="4"/>
            <w:shd w:val="clear" w:color="auto" w:fill="auto"/>
          </w:tcPr>
          <w:p w14:paraId="418020D5" w14:textId="77777777" w:rsidR="00884395" w:rsidRPr="00C2322F" w:rsidRDefault="00884395" w:rsidP="00884395">
            <w:pPr>
              <w:jc w:val="center"/>
              <w:rPr>
                <w:rFonts w:ascii="Arial" w:hAnsi="Arial" w:cs="Arial"/>
                <w:b/>
                <w:sz w:val="20"/>
              </w:rPr>
            </w:pPr>
            <w:r w:rsidRPr="00C2322F">
              <w:rPr>
                <w:rFonts w:ascii="Arial" w:hAnsi="Arial" w:cs="Arial"/>
                <w:b/>
                <w:sz w:val="20"/>
              </w:rPr>
              <w:t>Grading Policies</w:t>
            </w:r>
          </w:p>
        </w:tc>
      </w:tr>
      <w:tr w:rsidR="00884395" w:rsidRPr="00C2322F" w14:paraId="056046B0" w14:textId="77777777" w:rsidTr="00D76428">
        <w:trPr>
          <w:trHeight w:val="89"/>
        </w:trPr>
        <w:tc>
          <w:tcPr>
            <w:tcW w:w="10340" w:type="dxa"/>
            <w:gridSpan w:val="4"/>
            <w:shd w:val="clear" w:color="auto" w:fill="auto"/>
          </w:tcPr>
          <w:p w14:paraId="066254EA" w14:textId="77777777" w:rsidR="00884395" w:rsidRPr="00C2322F" w:rsidRDefault="00884395" w:rsidP="00884395">
            <w:pPr>
              <w:rPr>
                <w:rFonts w:ascii="Arial" w:hAnsi="Arial" w:cs="Arial"/>
                <w:sz w:val="10"/>
              </w:rPr>
            </w:pPr>
          </w:p>
        </w:tc>
      </w:tr>
      <w:tr w:rsidR="00884395" w:rsidRPr="00C2322F" w14:paraId="5B98D8A6" w14:textId="77777777" w:rsidTr="00193C9B">
        <w:trPr>
          <w:trHeight w:val="1188"/>
        </w:trPr>
        <w:tc>
          <w:tcPr>
            <w:tcW w:w="10340" w:type="dxa"/>
            <w:gridSpan w:val="4"/>
            <w:shd w:val="clear" w:color="auto" w:fill="auto"/>
          </w:tcPr>
          <w:p w14:paraId="598491D2" w14:textId="4537034C" w:rsidR="00EA6FFA" w:rsidRDefault="00EA6FFA" w:rsidP="00884395">
            <w:pPr>
              <w:tabs>
                <w:tab w:val="center" w:pos="5062"/>
              </w:tabs>
              <w:rPr>
                <w:rFonts w:ascii="Arial" w:hAnsi="Arial" w:cs="Arial"/>
                <w:sz w:val="20"/>
                <w:szCs w:val="20"/>
              </w:rPr>
            </w:pPr>
            <w:r>
              <w:rPr>
                <w:rFonts w:ascii="Arial" w:hAnsi="Arial" w:cs="Arial"/>
                <w:sz w:val="20"/>
                <w:szCs w:val="20"/>
              </w:rPr>
              <w:t>Case Briefs/Presentations</w:t>
            </w:r>
            <w:r>
              <w:rPr>
                <w:rFonts w:ascii="Arial" w:hAnsi="Arial" w:cs="Arial"/>
                <w:sz w:val="20"/>
                <w:szCs w:val="20"/>
              </w:rPr>
              <w:tab/>
            </w:r>
            <w:r w:rsidR="006D7889">
              <w:rPr>
                <w:rFonts w:ascii="Arial" w:hAnsi="Arial" w:cs="Arial"/>
                <w:sz w:val="20"/>
                <w:szCs w:val="20"/>
              </w:rPr>
              <w:t>5</w:t>
            </w:r>
            <w:r>
              <w:rPr>
                <w:rFonts w:ascii="Arial" w:hAnsi="Arial" w:cs="Arial"/>
                <w:sz w:val="20"/>
                <w:szCs w:val="20"/>
              </w:rPr>
              <w:t>0%</w:t>
            </w:r>
          </w:p>
          <w:p w14:paraId="4DDB14DB" w14:textId="77777777" w:rsidR="00EA6FFA" w:rsidRDefault="00EA6FFA" w:rsidP="00884395">
            <w:pPr>
              <w:tabs>
                <w:tab w:val="center" w:pos="5062"/>
              </w:tabs>
              <w:rPr>
                <w:rFonts w:ascii="Arial" w:hAnsi="Arial" w:cs="Arial"/>
                <w:sz w:val="20"/>
                <w:szCs w:val="20"/>
              </w:rPr>
            </w:pPr>
            <w:r>
              <w:rPr>
                <w:rFonts w:ascii="Arial" w:hAnsi="Arial" w:cs="Arial"/>
                <w:sz w:val="20"/>
                <w:szCs w:val="20"/>
              </w:rPr>
              <w:t>Final Exam</w:t>
            </w:r>
            <w:r>
              <w:rPr>
                <w:rFonts w:ascii="Arial" w:hAnsi="Arial" w:cs="Arial"/>
                <w:sz w:val="20"/>
                <w:szCs w:val="20"/>
              </w:rPr>
              <w:tab/>
              <w:t>30%</w:t>
            </w:r>
          </w:p>
          <w:p w14:paraId="036BDA0D" w14:textId="6FBB86D4" w:rsidR="00D1532C" w:rsidRPr="00C2322F" w:rsidRDefault="00B9408D" w:rsidP="00884395">
            <w:pPr>
              <w:tabs>
                <w:tab w:val="center" w:pos="5062"/>
              </w:tabs>
              <w:rPr>
                <w:rFonts w:ascii="Arial" w:hAnsi="Arial" w:cs="Arial"/>
                <w:sz w:val="20"/>
                <w:szCs w:val="20"/>
              </w:rPr>
            </w:pPr>
            <w:r>
              <w:rPr>
                <w:rFonts w:ascii="Arial" w:hAnsi="Arial" w:cs="Arial"/>
                <w:sz w:val="20"/>
                <w:szCs w:val="20"/>
              </w:rPr>
              <w:t>Quizzes</w:t>
            </w:r>
            <w:r w:rsidR="00D868C2">
              <w:rPr>
                <w:rFonts w:ascii="Arial" w:hAnsi="Arial" w:cs="Arial"/>
                <w:sz w:val="20"/>
                <w:szCs w:val="20"/>
              </w:rPr>
              <w:tab/>
            </w:r>
            <w:r w:rsidR="006D7889">
              <w:rPr>
                <w:rFonts w:ascii="Arial" w:hAnsi="Arial" w:cs="Arial"/>
                <w:sz w:val="20"/>
                <w:szCs w:val="20"/>
              </w:rPr>
              <w:t>2</w:t>
            </w:r>
            <w:r>
              <w:rPr>
                <w:rFonts w:ascii="Arial" w:hAnsi="Arial" w:cs="Arial"/>
                <w:sz w:val="20"/>
                <w:szCs w:val="20"/>
              </w:rPr>
              <w:t>0</w:t>
            </w:r>
            <w:r w:rsidR="00884395">
              <w:rPr>
                <w:rFonts w:ascii="Arial" w:hAnsi="Arial" w:cs="Arial"/>
                <w:sz w:val="20"/>
                <w:szCs w:val="20"/>
              </w:rPr>
              <w:t>%</w:t>
            </w:r>
          </w:p>
        </w:tc>
      </w:tr>
      <w:tr w:rsidR="00884395" w:rsidRPr="00C2322F" w14:paraId="7B276F42" w14:textId="77777777" w:rsidTr="00D76428">
        <w:tc>
          <w:tcPr>
            <w:tcW w:w="10340" w:type="dxa"/>
            <w:gridSpan w:val="4"/>
            <w:shd w:val="clear" w:color="auto" w:fill="auto"/>
          </w:tcPr>
          <w:p w14:paraId="11BC2D6D" w14:textId="77777777" w:rsidR="00884395" w:rsidRPr="00C2322F" w:rsidRDefault="00884395" w:rsidP="00884395">
            <w:pPr>
              <w:rPr>
                <w:rFonts w:ascii="Arial" w:hAnsi="Arial" w:cs="Arial"/>
                <w:sz w:val="20"/>
              </w:rPr>
            </w:pPr>
          </w:p>
        </w:tc>
      </w:tr>
      <w:tr w:rsidR="00884395" w:rsidRPr="00C2322F" w14:paraId="73C813B0" w14:textId="77777777" w:rsidTr="00D76428">
        <w:tc>
          <w:tcPr>
            <w:tcW w:w="10340" w:type="dxa"/>
            <w:gridSpan w:val="4"/>
            <w:shd w:val="clear" w:color="auto" w:fill="auto"/>
          </w:tcPr>
          <w:p w14:paraId="76BE61B2" w14:textId="0A875ED3" w:rsidR="000463E9" w:rsidRPr="000463E9" w:rsidRDefault="000463E9" w:rsidP="00B9408D">
            <w:pPr>
              <w:rPr>
                <w:rFonts w:ascii="Arial" w:hAnsi="Arial" w:cs="Arial"/>
                <w:sz w:val="20"/>
              </w:rPr>
            </w:pPr>
            <w:r>
              <w:rPr>
                <w:rFonts w:ascii="Arial" w:hAnsi="Arial" w:cs="Arial"/>
                <w:sz w:val="20"/>
              </w:rPr>
              <w:t>Assignments will receive due dates.</w:t>
            </w:r>
            <w:r w:rsidR="00EB3D57">
              <w:rPr>
                <w:rFonts w:ascii="Arial" w:hAnsi="Arial" w:cs="Arial"/>
                <w:sz w:val="20"/>
              </w:rPr>
              <w:t xml:space="preserve"> Unless otherwise specified in writing, all assignments that are due on scheduled class day will be due before class. </w:t>
            </w:r>
            <w:r>
              <w:rPr>
                <w:rFonts w:ascii="Arial" w:hAnsi="Arial" w:cs="Arial"/>
                <w:sz w:val="20"/>
              </w:rPr>
              <w:t xml:space="preserve">These due dates are mandatory. </w:t>
            </w:r>
            <w:r w:rsidR="00EB3D57">
              <w:rPr>
                <w:rFonts w:ascii="Arial" w:hAnsi="Arial" w:cs="Arial"/>
                <w:sz w:val="20"/>
              </w:rPr>
              <w:t xml:space="preserve">Written assignments turned in after class but on the due date will be subject to a 10% grade reduction. </w:t>
            </w:r>
            <w:r>
              <w:rPr>
                <w:rFonts w:ascii="Arial" w:hAnsi="Arial" w:cs="Arial"/>
                <w:sz w:val="20"/>
              </w:rPr>
              <w:t>Late written assignments</w:t>
            </w:r>
            <w:r w:rsidR="00EB3D57">
              <w:rPr>
                <w:rFonts w:ascii="Arial" w:hAnsi="Arial" w:cs="Arial"/>
                <w:sz w:val="20"/>
              </w:rPr>
              <w:t xml:space="preserve"> after the due date</w:t>
            </w:r>
            <w:r>
              <w:rPr>
                <w:rFonts w:ascii="Arial" w:hAnsi="Arial" w:cs="Arial"/>
                <w:sz w:val="20"/>
              </w:rPr>
              <w:t xml:space="preserve"> will be accepted with a 25% </w:t>
            </w:r>
            <w:r w:rsidR="00EB3D57">
              <w:rPr>
                <w:rFonts w:ascii="Arial" w:hAnsi="Arial" w:cs="Arial"/>
                <w:sz w:val="20"/>
              </w:rPr>
              <w:t>grade reduction</w:t>
            </w:r>
            <w:r>
              <w:rPr>
                <w:rFonts w:ascii="Arial" w:hAnsi="Arial" w:cs="Arial"/>
                <w:sz w:val="20"/>
              </w:rPr>
              <w:t xml:space="preserve"> for each day it is late. Oral assignments will not be accepted late; late assignments will be given a zero. </w:t>
            </w:r>
            <w:r w:rsidRPr="00130F15">
              <w:rPr>
                <w:rFonts w:ascii="Arial" w:hAnsi="Arial" w:cs="Arial"/>
                <w:sz w:val="20"/>
              </w:rPr>
              <w:t xml:space="preserve">Students with </w:t>
            </w:r>
            <w:r w:rsidR="00E912A6">
              <w:rPr>
                <w:rFonts w:ascii="Arial" w:hAnsi="Arial" w:cs="Arial"/>
                <w:sz w:val="20"/>
              </w:rPr>
              <w:t xml:space="preserve">foreseen but unavoidable </w:t>
            </w:r>
            <w:r w:rsidRPr="00130F15">
              <w:rPr>
                <w:rFonts w:ascii="Arial" w:hAnsi="Arial" w:cs="Arial"/>
                <w:sz w:val="20"/>
              </w:rPr>
              <w:t xml:space="preserve">absences on days they are to present </w:t>
            </w:r>
            <w:r>
              <w:rPr>
                <w:rFonts w:ascii="Arial" w:hAnsi="Arial" w:cs="Arial"/>
                <w:sz w:val="20"/>
              </w:rPr>
              <w:t xml:space="preserve">an oral assignment </w:t>
            </w:r>
            <w:r w:rsidRPr="00130F15">
              <w:rPr>
                <w:rFonts w:ascii="Arial" w:hAnsi="Arial" w:cs="Arial"/>
                <w:sz w:val="20"/>
              </w:rPr>
              <w:t xml:space="preserve">in class must </w:t>
            </w:r>
            <w:proofErr w:type="gramStart"/>
            <w:r w:rsidRPr="00130F15">
              <w:rPr>
                <w:rFonts w:ascii="Arial" w:hAnsi="Arial" w:cs="Arial"/>
                <w:sz w:val="20"/>
              </w:rPr>
              <w:t>make arrangements</w:t>
            </w:r>
            <w:proofErr w:type="gramEnd"/>
            <w:r w:rsidRPr="00130F15">
              <w:rPr>
                <w:rFonts w:ascii="Arial" w:hAnsi="Arial" w:cs="Arial"/>
                <w:sz w:val="20"/>
              </w:rPr>
              <w:t xml:space="preserve"> to switch assignments with a different student</w:t>
            </w:r>
            <w:r w:rsidR="00CE6E0D">
              <w:rPr>
                <w:rFonts w:ascii="Arial" w:hAnsi="Arial" w:cs="Arial"/>
                <w:sz w:val="20"/>
              </w:rPr>
              <w:t xml:space="preserve"> prior to their scheduled presentation day</w:t>
            </w:r>
            <w:r w:rsidR="00E912A6">
              <w:rPr>
                <w:rFonts w:ascii="Arial" w:hAnsi="Arial" w:cs="Arial"/>
                <w:sz w:val="20"/>
              </w:rPr>
              <w:t>.</w:t>
            </w:r>
          </w:p>
          <w:p w14:paraId="02F1EA17" w14:textId="19A70F5F" w:rsidR="00A23D52" w:rsidRDefault="00B9408D" w:rsidP="00B9408D">
            <w:pPr>
              <w:rPr>
                <w:rFonts w:ascii="Arial" w:hAnsi="Arial" w:cs="Arial"/>
                <w:sz w:val="20"/>
              </w:rPr>
            </w:pPr>
            <w:r w:rsidRPr="00A23D52">
              <w:rPr>
                <w:rFonts w:ascii="Arial" w:hAnsi="Arial" w:cs="Arial"/>
                <w:b/>
                <w:sz w:val="20"/>
              </w:rPr>
              <w:lastRenderedPageBreak/>
              <w:t>Case Briefs and Presentations</w:t>
            </w:r>
            <w:r>
              <w:rPr>
                <w:rFonts w:ascii="Arial" w:hAnsi="Arial" w:cs="Arial"/>
                <w:sz w:val="20"/>
              </w:rPr>
              <w:t>: Students will be</w:t>
            </w:r>
            <w:r w:rsidR="00EB3D57">
              <w:rPr>
                <w:rFonts w:ascii="Arial" w:hAnsi="Arial" w:cs="Arial"/>
                <w:sz w:val="20"/>
              </w:rPr>
              <w:t xml:space="preserve"> required to write case briefs </w:t>
            </w:r>
            <w:r>
              <w:rPr>
                <w:rFonts w:ascii="Arial" w:hAnsi="Arial" w:cs="Arial"/>
                <w:sz w:val="20"/>
              </w:rPr>
              <w:t xml:space="preserve">on Supreme Court decisions examined in this class. </w:t>
            </w:r>
            <w:r w:rsidR="00B86389">
              <w:rPr>
                <w:rFonts w:ascii="Arial" w:hAnsi="Arial" w:cs="Arial"/>
                <w:sz w:val="20"/>
              </w:rPr>
              <w:t>Case briefs summarize the elements of a case, which are detailed</w:t>
            </w:r>
            <w:r w:rsidR="006C3FDA">
              <w:rPr>
                <w:rFonts w:ascii="Arial" w:hAnsi="Arial" w:cs="Arial"/>
                <w:sz w:val="20"/>
              </w:rPr>
              <w:t xml:space="preserve"> at the end of the syllabus. </w:t>
            </w:r>
            <w:r w:rsidR="00A23D52">
              <w:rPr>
                <w:rFonts w:ascii="Arial" w:hAnsi="Arial" w:cs="Arial"/>
                <w:sz w:val="20"/>
              </w:rPr>
              <w:t>The case brief is expected to summarize all elements of a case, not just those elements reproduced or summarized in the textbook or other reference material. Part of the course will involve students locating full Supreme Court decisions, including concurrences and dissents.</w:t>
            </w:r>
            <w:r w:rsidR="00CA0771">
              <w:rPr>
                <w:rFonts w:ascii="Arial" w:hAnsi="Arial" w:cs="Arial"/>
                <w:sz w:val="20"/>
              </w:rPr>
              <w:t xml:space="preserve"> </w:t>
            </w:r>
            <w:r w:rsidR="00EB3D57">
              <w:rPr>
                <w:rFonts w:ascii="Arial" w:hAnsi="Arial" w:cs="Arial"/>
                <w:sz w:val="20"/>
              </w:rPr>
              <w:t>At minimum, s</w:t>
            </w:r>
            <w:r w:rsidR="00CA0771">
              <w:rPr>
                <w:rFonts w:ascii="Arial" w:hAnsi="Arial" w:cs="Arial"/>
                <w:sz w:val="20"/>
              </w:rPr>
              <w:t xml:space="preserve">tudents must follow the professor’s </w:t>
            </w:r>
            <w:r w:rsidR="00EB3D57">
              <w:rPr>
                <w:rFonts w:ascii="Arial" w:hAnsi="Arial" w:cs="Arial"/>
                <w:sz w:val="20"/>
              </w:rPr>
              <w:t>format when creating a case brief.</w:t>
            </w:r>
          </w:p>
          <w:p w14:paraId="15AE1447" w14:textId="77777777" w:rsidR="00A23D52" w:rsidRDefault="00A23D52" w:rsidP="00B9408D">
            <w:pPr>
              <w:rPr>
                <w:rFonts w:ascii="Arial" w:hAnsi="Arial" w:cs="Arial"/>
                <w:sz w:val="20"/>
              </w:rPr>
            </w:pPr>
          </w:p>
          <w:p w14:paraId="524CB54E" w14:textId="448F120D" w:rsidR="00B9408D" w:rsidRDefault="00B9408D" w:rsidP="00B9408D">
            <w:pPr>
              <w:rPr>
                <w:rFonts w:ascii="Arial" w:hAnsi="Arial" w:cs="Arial"/>
                <w:sz w:val="20"/>
              </w:rPr>
            </w:pPr>
            <w:r>
              <w:rPr>
                <w:rFonts w:ascii="Arial" w:hAnsi="Arial" w:cs="Arial"/>
                <w:sz w:val="20"/>
              </w:rPr>
              <w:t>Students will also be required to present</w:t>
            </w:r>
            <w:r w:rsidR="00505FDF">
              <w:rPr>
                <w:rFonts w:ascii="Arial" w:hAnsi="Arial" w:cs="Arial"/>
                <w:sz w:val="20"/>
              </w:rPr>
              <w:t xml:space="preserve"> some of</w:t>
            </w:r>
            <w:r>
              <w:rPr>
                <w:rFonts w:ascii="Arial" w:hAnsi="Arial" w:cs="Arial"/>
                <w:sz w:val="20"/>
              </w:rPr>
              <w:t xml:space="preserve"> these cases to the class</w:t>
            </w:r>
            <w:r w:rsidR="005B71F0">
              <w:rPr>
                <w:rFonts w:ascii="Arial" w:hAnsi="Arial" w:cs="Arial"/>
                <w:sz w:val="20"/>
              </w:rPr>
              <w:t>.</w:t>
            </w:r>
            <w:r w:rsidR="006C3FDA">
              <w:rPr>
                <w:rFonts w:ascii="Arial" w:hAnsi="Arial" w:cs="Arial"/>
                <w:sz w:val="20"/>
              </w:rPr>
              <w:t xml:space="preserve"> </w:t>
            </w:r>
            <w:r>
              <w:rPr>
                <w:rFonts w:ascii="Arial" w:hAnsi="Arial" w:cs="Arial"/>
                <w:sz w:val="20"/>
              </w:rPr>
              <w:t xml:space="preserve">The number of cases a student can expect to present is dependent upon class size but should expect to complete multiple </w:t>
            </w:r>
            <w:r w:rsidR="006C3FDA">
              <w:rPr>
                <w:rFonts w:ascii="Arial" w:hAnsi="Arial" w:cs="Arial"/>
                <w:sz w:val="20"/>
              </w:rPr>
              <w:t>case briefs. The instructor will assign students to both the case to be briefed and presented as well as the date both are due. Students may trade assignments with each other when both consent and both inform the professo</w:t>
            </w:r>
            <w:r w:rsidR="00130F15">
              <w:rPr>
                <w:rFonts w:ascii="Arial" w:hAnsi="Arial" w:cs="Arial"/>
                <w:sz w:val="20"/>
              </w:rPr>
              <w:t>r with written communication.</w:t>
            </w:r>
          </w:p>
          <w:p w14:paraId="63D443CB" w14:textId="77777777" w:rsidR="006C3FDA" w:rsidRDefault="006C3FDA" w:rsidP="00B9408D">
            <w:pPr>
              <w:rPr>
                <w:rFonts w:ascii="Arial" w:hAnsi="Arial" w:cs="Arial"/>
                <w:sz w:val="20"/>
              </w:rPr>
            </w:pPr>
          </w:p>
          <w:p w14:paraId="6139ABCB" w14:textId="726E1F63" w:rsidR="006C3FDA" w:rsidRDefault="006C3FDA" w:rsidP="00B9408D">
            <w:pPr>
              <w:rPr>
                <w:rFonts w:ascii="Arial" w:hAnsi="Arial" w:cs="Arial"/>
                <w:sz w:val="20"/>
              </w:rPr>
            </w:pPr>
            <w:r w:rsidRPr="00A23D52">
              <w:rPr>
                <w:rFonts w:ascii="Arial" w:hAnsi="Arial" w:cs="Arial"/>
                <w:b/>
                <w:sz w:val="20"/>
              </w:rPr>
              <w:t>Quizzes</w:t>
            </w:r>
            <w:r>
              <w:rPr>
                <w:rFonts w:ascii="Arial" w:hAnsi="Arial" w:cs="Arial"/>
                <w:sz w:val="20"/>
              </w:rPr>
              <w:t>: Quizzes will be administered</w:t>
            </w:r>
            <w:r w:rsidR="00505FDF">
              <w:rPr>
                <w:rFonts w:ascii="Arial" w:hAnsi="Arial" w:cs="Arial"/>
                <w:sz w:val="20"/>
              </w:rPr>
              <w:t xml:space="preserve"> weekly</w:t>
            </w:r>
            <w:r>
              <w:rPr>
                <w:rFonts w:ascii="Arial" w:hAnsi="Arial" w:cs="Arial"/>
                <w:sz w:val="20"/>
              </w:rPr>
              <w:t xml:space="preserve"> to ensure that students </w:t>
            </w:r>
            <w:r w:rsidR="00A23D52">
              <w:rPr>
                <w:rFonts w:ascii="Arial" w:hAnsi="Arial" w:cs="Arial"/>
                <w:sz w:val="20"/>
              </w:rPr>
              <w:t>are engaged with the materials. They will ask about the cases that have been assigned in class, up to and including the cases to be discussed on the day of the quiz. Quizzes will cover material either from the textbook or the text of the case itself.</w:t>
            </w:r>
          </w:p>
          <w:p w14:paraId="686B3473" w14:textId="0A5ED06A" w:rsidR="00A23D52" w:rsidRPr="00A23D52" w:rsidRDefault="00A23D52" w:rsidP="00B9408D">
            <w:pPr>
              <w:rPr>
                <w:rFonts w:ascii="Arial" w:hAnsi="Arial" w:cs="Arial"/>
                <w:sz w:val="20"/>
              </w:rPr>
            </w:pPr>
          </w:p>
        </w:tc>
      </w:tr>
      <w:tr w:rsidR="00884395" w:rsidRPr="00C2322F" w14:paraId="1BBB2208" w14:textId="77777777" w:rsidTr="00D76428">
        <w:tc>
          <w:tcPr>
            <w:tcW w:w="10340" w:type="dxa"/>
            <w:gridSpan w:val="4"/>
            <w:shd w:val="clear" w:color="auto" w:fill="auto"/>
          </w:tcPr>
          <w:p w14:paraId="5DA84710" w14:textId="77777777" w:rsidR="00884395" w:rsidRPr="00C2322F" w:rsidRDefault="00884395" w:rsidP="00884395">
            <w:pPr>
              <w:jc w:val="center"/>
              <w:rPr>
                <w:rFonts w:ascii="Arial" w:hAnsi="Arial" w:cs="Arial"/>
                <w:sz w:val="20"/>
              </w:rPr>
            </w:pPr>
            <w:r w:rsidRPr="00C2322F">
              <w:rPr>
                <w:rFonts w:ascii="Arial" w:hAnsi="Arial" w:cs="Arial"/>
                <w:b/>
                <w:sz w:val="20"/>
              </w:rPr>
              <w:lastRenderedPageBreak/>
              <w:t xml:space="preserve">Grading </w:t>
            </w:r>
            <w:r>
              <w:rPr>
                <w:rFonts w:ascii="Arial" w:hAnsi="Arial" w:cs="Arial"/>
                <w:b/>
                <w:sz w:val="20"/>
              </w:rPr>
              <w:t>Scale</w:t>
            </w:r>
          </w:p>
        </w:tc>
      </w:tr>
      <w:tr w:rsidR="00884395" w:rsidRPr="00C2322F" w14:paraId="7B1842F2" w14:textId="77777777" w:rsidTr="00D76428">
        <w:tc>
          <w:tcPr>
            <w:tcW w:w="10340" w:type="dxa"/>
            <w:gridSpan w:val="4"/>
            <w:shd w:val="clear" w:color="auto" w:fill="auto"/>
          </w:tcPr>
          <w:p w14:paraId="751551FD" w14:textId="77777777" w:rsidR="00884395" w:rsidRPr="00632965" w:rsidRDefault="00884395" w:rsidP="00632965">
            <w:pPr>
              <w:ind w:left="360"/>
              <w:jc w:val="both"/>
              <w:rPr>
                <w:rFonts w:ascii="Arial" w:hAnsi="Arial" w:cs="Arial"/>
                <w:sz w:val="20"/>
                <w:szCs w:val="22"/>
              </w:rPr>
            </w:pPr>
            <w:r w:rsidRPr="00632965">
              <w:rPr>
                <w:rFonts w:ascii="Arial" w:hAnsi="Arial" w:cs="Arial"/>
                <w:sz w:val="20"/>
                <w:szCs w:val="22"/>
              </w:rPr>
              <w:t>A = 90-100</w:t>
            </w:r>
          </w:p>
          <w:p w14:paraId="4DF742E2" w14:textId="77777777" w:rsidR="00884395" w:rsidRPr="00632965" w:rsidRDefault="00884395" w:rsidP="00632965">
            <w:pPr>
              <w:ind w:left="360"/>
              <w:jc w:val="both"/>
              <w:rPr>
                <w:rFonts w:ascii="Arial" w:hAnsi="Arial" w:cs="Arial"/>
                <w:sz w:val="20"/>
                <w:szCs w:val="22"/>
              </w:rPr>
            </w:pPr>
            <w:r w:rsidRPr="00632965">
              <w:rPr>
                <w:rFonts w:ascii="Arial" w:hAnsi="Arial" w:cs="Arial"/>
                <w:sz w:val="20"/>
                <w:szCs w:val="22"/>
              </w:rPr>
              <w:t>B = 80-89</w:t>
            </w:r>
          </w:p>
          <w:p w14:paraId="21CDA834" w14:textId="77777777" w:rsidR="00884395" w:rsidRPr="00632965" w:rsidRDefault="00884395" w:rsidP="00632965">
            <w:pPr>
              <w:ind w:left="360"/>
              <w:jc w:val="both"/>
              <w:rPr>
                <w:rFonts w:ascii="Arial" w:hAnsi="Arial" w:cs="Arial"/>
                <w:sz w:val="20"/>
                <w:szCs w:val="22"/>
              </w:rPr>
            </w:pPr>
            <w:r w:rsidRPr="00632965">
              <w:rPr>
                <w:rFonts w:ascii="Arial" w:hAnsi="Arial" w:cs="Arial"/>
                <w:sz w:val="20"/>
                <w:szCs w:val="22"/>
              </w:rPr>
              <w:t>C = 70-79</w:t>
            </w:r>
          </w:p>
          <w:p w14:paraId="69BA8D08" w14:textId="77777777" w:rsidR="00884395" w:rsidRPr="00632965" w:rsidRDefault="00884395" w:rsidP="00632965">
            <w:pPr>
              <w:ind w:left="360"/>
              <w:jc w:val="both"/>
              <w:rPr>
                <w:rFonts w:ascii="Arial" w:hAnsi="Arial" w:cs="Arial"/>
                <w:sz w:val="20"/>
                <w:szCs w:val="22"/>
              </w:rPr>
            </w:pPr>
            <w:r w:rsidRPr="00632965">
              <w:rPr>
                <w:rFonts w:ascii="Arial" w:hAnsi="Arial" w:cs="Arial"/>
                <w:sz w:val="20"/>
                <w:szCs w:val="22"/>
              </w:rPr>
              <w:t>D = 60-69</w:t>
            </w:r>
          </w:p>
          <w:p w14:paraId="34C16A50" w14:textId="77777777" w:rsidR="00884395" w:rsidRPr="00632965" w:rsidRDefault="00884395" w:rsidP="00632965">
            <w:pPr>
              <w:ind w:left="360"/>
              <w:jc w:val="both"/>
              <w:rPr>
                <w:rFonts w:ascii="Garamond" w:hAnsi="Garamond"/>
                <w:sz w:val="22"/>
                <w:szCs w:val="22"/>
              </w:rPr>
            </w:pPr>
            <w:r w:rsidRPr="00632965">
              <w:rPr>
                <w:rFonts w:ascii="Arial" w:hAnsi="Arial" w:cs="Arial"/>
                <w:sz w:val="20"/>
                <w:szCs w:val="22"/>
              </w:rPr>
              <w:t>F = &lt;60</w:t>
            </w:r>
          </w:p>
        </w:tc>
      </w:tr>
      <w:tr w:rsidR="00884395" w:rsidRPr="00C2322F" w14:paraId="1656B35C" w14:textId="77777777" w:rsidTr="00D76428">
        <w:tc>
          <w:tcPr>
            <w:tcW w:w="10340" w:type="dxa"/>
            <w:gridSpan w:val="4"/>
            <w:shd w:val="clear" w:color="auto" w:fill="auto"/>
          </w:tcPr>
          <w:p w14:paraId="6CCD2D7B" w14:textId="77777777" w:rsidR="00884395" w:rsidRPr="00C2322F" w:rsidRDefault="00884395" w:rsidP="00884395">
            <w:pPr>
              <w:jc w:val="center"/>
              <w:rPr>
                <w:rFonts w:ascii="Arial" w:hAnsi="Arial" w:cs="Arial"/>
                <w:b/>
                <w:sz w:val="20"/>
              </w:rPr>
            </w:pPr>
          </w:p>
        </w:tc>
      </w:tr>
      <w:tr w:rsidR="00884395" w:rsidRPr="00C2322F" w14:paraId="7B8C9EEE" w14:textId="77777777" w:rsidTr="00D76428">
        <w:tc>
          <w:tcPr>
            <w:tcW w:w="10340" w:type="dxa"/>
            <w:gridSpan w:val="4"/>
            <w:shd w:val="clear" w:color="auto" w:fill="auto"/>
          </w:tcPr>
          <w:p w14:paraId="172B84A6" w14:textId="77777777" w:rsidR="00884395" w:rsidRPr="00C2322F" w:rsidRDefault="00884395" w:rsidP="00012A9E">
            <w:pPr>
              <w:jc w:val="center"/>
              <w:rPr>
                <w:rFonts w:ascii="Arial" w:hAnsi="Arial" w:cs="Arial"/>
                <w:i/>
                <w:sz w:val="18"/>
              </w:rPr>
            </w:pPr>
            <w:r w:rsidRPr="00C2322F">
              <w:rPr>
                <w:rFonts w:ascii="Arial" w:hAnsi="Arial" w:cs="Arial"/>
                <w:b/>
                <w:sz w:val="20"/>
              </w:rPr>
              <w:t xml:space="preserve">Major </w:t>
            </w:r>
            <w:r w:rsidR="00012A9E">
              <w:rPr>
                <w:rFonts w:ascii="Arial" w:hAnsi="Arial" w:cs="Arial"/>
                <w:b/>
                <w:sz w:val="20"/>
              </w:rPr>
              <w:t>Class</w:t>
            </w:r>
            <w:r w:rsidRPr="00C2322F">
              <w:rPr>
                <w:rFonts w:ascii="Arial" w:hAnsi="Arial" w:cs="Arial"/>
                <w:b/>
                <w:sz w:val="20"/>
              </w:rPr>
              <w:t xml:space="preserve"> Dates</w:t>
            </w:r>
          </w:p>
        </w:tc>
      </w:tr>
      <w:tr w:rsidR="00884395" w:rsidRPr="00C2322F" w14:paraId="689FA131" w14:textId="77777777" w:rsidTr="00D76428">
        <w:tc>
          <w:tcPr>
            <w:tcW w:w="10340" w:type="dxa"/>
            <w:gridSpan w:val="4"/>
            <w:shd w:val="clear" w:color="auto" w:fill="auto"/>
          </w:tcPr>
          <w:p w14:paraId="5CBA0D5D" w14:textId="77777777" w:rsidR="00884395" w:rsidRPr="00C2322F" w:rsidRDefault="00884395" w:rsidP="00884395">
            <w:pPr>
              <w:rPr>
                <w:rFonts w:ascii="Arial" w:hAnsi="Arial" w:cs="Arial"/>
                <w:sz w:val="10"/>
                <w:szCs w:val="10"/>
              </w:rPr>
            </w:pPr>
          </w:p>
        </w:tc>
      </w:tr>
      <w:tr w:rsidR="00884395" w:rsidRPr="00C2322F" w14:paraId="28B00509" w14:textId="77777777" w:rsidTr="00D76428">
        <w:tc>
          <w:tcPr>
            <w:tcW w:w="10340" w:type="dxa"/>
            <w:gridSpan w:val="4"/>
            <w:shd w:val="clear" w:color="auto" w:fill="auto"/>
          </w:tcPr>
          <w:p w14:paraId="640C46E9" w14:textId="7683DDC5" w:rsidR="00CE6E0D" w:rsidRDefault="00CE6E0D" w:rsidP="00D6678E">
            <w:pPr>
              <w:rPr>
                <w:rFonts w:ascii="Arial" w:hAnsi="Arial" w:cs="Arial"/>
                <w:sz w:val="20"/>
                <w:szCs w:val="20"/>
              </w:rPr>
            </w:pPr>
            <w:r>
              <w:rPr>
                <w:rFonts w:ascii="Arial" w:hAnsi="Arial" w:cs="Arial"/>
                <w:sz w:val="20"/>
                <w:szCs w:val="20"/>
              </w:rPr>
              <w:t>Wednesday-Wednesday, January 13-20: Add/Drop Period</w:t>
            </w:r>
          </w:p>
          <w:p w14:paraId="636AC8BF" w14:textId="6362CA76" w:rsidR="00CE6E0D" w:rsidRDefault="00CE6E0D" w:rsidP="00D6678E">
            <w:pPr>
              <w:rPr>
                <w:rFonts w:ascii="Arial" w:hAnsi="Arial" w:cs="Arial"/>
                <w:sz w:val="20"/>
                <w:szCs w:val="20"/>
              </w:rPr>
            </w:pPr>
            <w:r>
              <w:rPr>
                <w:rFonts w:ascii="Arial" w:hAnsi="Arial" w:cs="Arial"/>
                <w:sz w:val="20"/>
                <w:szCs w:val="20"/>
              </w:rPr>
              <w:t>Monday, January 18: MLK Jr. Day</w:t>
            </w:r>
          </w:p>
          <w:p w14:paraId="3BDFC39B" w14:textId="45B59D92" w:rsidR="00CE6E0D" w:rsidRDefault="00CE6E0D" w:rsidP="00D6678E">
            <w:pPr>
              <w:rPr>
                <w:rFonts w:ascii="Arial" w:hAnsi="Arial" w:cs="Arial"/>
                <w:sz w:val="20"/>
                <w:szCs w:val="20"/>
              </w:rPr>
            </w:pPr>
            <w:r>
              <w:rPr>
                <w:rFonts w:ascii="Arial" w:hAnsi="Arial" w:cs="Arial"/>
                <w:sz w:val="20"/>
                <w:szCs w:val="20"/>
              </w:rPr>
              <w:t>Wednesday, February 17: No classes</w:t>
            </w:r>
          </w:p>
          <w:p w14:paraId="791F6F29" w14:textId="3ACD7164" w:rsidR="00CE6E0D" w:rsidRDefault="00CE6E0D" w:rsidP="00884395">
            <w:pPr>
              <w:rPr>
                <w:rFonts w:ascii="Arial" w:hAnsi="Arial" w:cs="Arial"/>
                <w:sz w:val="20"/>
                <w:szCs w:val="20"/>
              </w:rPr>
            </w:pPr>
            <w:r>
              <w:rPr>
                <w:rFonts w:ascii="Arial" w:hAnsi="Arial" w:cs="Arial"/>
                <w:sz w:val="20"/>
                <w:szCs w:val="20"/>
              </w:rPr>
              <w:t>Friday, March 12: No classes</w:t>
            </w:r>
          </w:p>
          <w:p w14:paraId="141AFFE4" w14:textId="44AB4268" w:rsidR="000C158F" w:rsidRDefault="00CE6E0D" w:rsidP="00884395">
            <w:pPr>
              <w:rPr>
                <w:rFonts w:ascii="Arial" w:hAnsi="Arial" w:cs="Arial"/>
                <w:sz w:val="20"/>
                <w:szCs w:val="20"/>
              </w:rPr>
            </w:pPr>
            <w:r>
              <w:rPr>
                <w:rFonts w:ascii="Arial" w:hAnsi="Arial" w:cs="Arial"/>
                <w:sz w:val="20"/>
                <w:szCs w:val="20"/>
              </w:rPr>
              <w:t>Tuesday, March 23: Withdrawal Deadline</w:t>
            </w:r>
          </w:p>
          <w:p w14:paraId="6C7391DF" w14:textId="77777777" w:rsidR="00884395" w:rsidRPr="00C2322F" w:rsidRDefault="000E5A69" w:rsidP="000E5A69">
            <w:pPr>
              <w:rPr>
                <w:rFonts w:ascii="Arial" w:hAnsi="Arial" w:cs="Arial"/>
                <w:sz w:val="20"/>
                <w:szCs w:val="20"/>
              </w:rPr>
            </w:pPr>
            <w:r>
              <w:rPr>
                <w:rFonts w:ascii="Arial" w:hAnsi="Arial" w:cs="Arial"/>
                <w:sz w:val="20"/>
                <w:szCs w:val="20"/>
              </w:rPr>
              <w:t>Tuesday</w:t>
            </w:r>
            <w:r w:rsidR="00252E53">
              <w:rPr>
                <w:rFonts w:ascii="Arial" w:hAnsi="Arial" w:cs="Arial"/>
                <w:sz w:val="20"/>
                <w:szCs w:val="20"/>
              </w:rPr>
              <w:t xml:space="preserve">, </w:t>
            </w:r>
            <w:r>
              <w:rPr>
                <w:rFonts w:ascii="Arial" w:hAnsi="Arial" w:cs="Arial"/>
                <w:sz w:val="20"/>
                <w:szCs w:val="20"/>
              </w:rPr>
              <w:t>May</w:t>
            </w:r>
            <w:r w:rsidR="00252E53">
              <w:rPr>
                <w:rFonts w:ascii="Arial" w:hAnsi="Arial" w:cs="Arial"/>
                <w:sz w:val="20"/>
                <w:szCs w:val="20"/>
              </w:rPr>
              <w:t xml:space="preserve"> 7</w:t>
            </w:r>
            <w:r>
              <w:rPr>
                <w:rFonts w:ascii="Arial" w:hAnsi="Arial" w:cs="Arial"/>
                <w:sz w:val="20"/>
                <w:szCs w:val="20"/>
              </w:rPr>
              <w:t xml:space="preserve"> (10:30 am)</w:t>
            </w:r>
            <w:r w:rsidR="00252E53">
              <w:rPr>
                <w:rFonts w:ascii="Arial" w:hAnsi="Arial" w:cs="Arial"/>
                <w:sz w:val="20"/>
                <w:szCs w:val="20"/>
              </w:rPr>
              <w:t>: Final Exam</w:t>
            </w:r>
          </w:p>
        </w:tc>
      </w:tr>
      <w:tr w:rsidR="00884395" w:rsidRPr="00C2322F" w14:paraId="279A26EC" w14:textId="77777777" w:rsidTr="00D76428">
        <w:tc>
          <w:tcPr>
            <w:tcW w:w="10340" w:type="dxa"/>
            <w:gridSpan w:val="4"/>
            <w:shd w:val="clear" w:color="auto" w:fill="auto"/>
          </w:tcPr>
          <w:p w14:paraId="03BDE8D7" w14:textId="77777777" w:rsidR="00884395" w:rsidRPr="00C2322F" w:rsidRDefault="00884395" w:rsidP="00884395">
            <w:pPr>
              <w:rPr>
                <w:rFonts w:ascii="Arial" w:hAnsi="Arial" w:cs="Arial"/>
                <w:sz w:val="20"/>
              </w:rPr>
            </w:pPr>
          </w:p>
        </w:tc>
      </w:tr>
      <w:tr w:rsidR="00FE5457" w:rsidRPr="00C2322F" w14:paraId="5EAB2657" w14:textId="77777777" w:rsidTr="00D76428">
        <w:tc>
          <w:tcPr>
            <w:tcW w:w="10340" w:type="dxa"/>
            <w:gridSpan w:val="4"/>
            <w:shd w:val="clear" w:color="auto" w:fill="auto"/>
          </w:tcPr>
          <w:p w14:paraId="5FD3E2A8" w14:textId="53D38EDA" w:rsidR="00FE5457" w:rsidRPr="00C2322F" w:rsidRDefault="00FE5457" w:rsidP="00FE5457">
            <w:pPr>
              <w:jc w:val="center"/>
              <w:rPr>
                <w:rFonts w:ascii="Arial" w:hAnsi="Arial" w:cs="Arial"/>
                <w:b/>
                <w:sz w:val="20"/>
              </w:rPr>
            </w:pPr>
            <w:r w:rsidRPr="0006705C">
              <w:rPr>
                <w:rFonts w:ascii="Arial" w:hAnsi="Arial" w:cs="Arial"/>
                <w:b/>
                <w:sz w:val="20"/>
              </w:rPr>
              <w:t>Mental Health and Wellness Re</w:t>
            </w:r>
            <w:r>
              <w:rPr>
                <w:rFonts w:ascii="Arial" w:hAnsi="Arial" w:cs="Arial"/>
                <w:b/>
                <w:sz w:val="20"/>
              </w:rPr>
              <w:t>sources</w:t>
            </w:r>
          </w:p>
        </w:tc>
      </w:tr>
      <w:tr w:rsidR="00884395" w:rsidRPr="00C2322F" w14:paraId="54EB30FB" w14:textId="77777777" w:rsidTr="00D76428">
        <w:trPr>
          <w:trHeight w:val="89"/>
        </w:trPr>
        <w:tc>
          <w:tcPr>
            <w:tcW w:w="10340" w:type="dxa"/>
            <w:gridSpan w:val="4"/>
            <w:shd w:val="clear" w:color="auto" w:fill="auto"/>
          </w:tcPr>
          <w:p w14:paraId="66EAB33E" w14:textId="77777777" w:rsidR="00884395" w:rsidRPr="00C2322F" w:rsidRDefault="00884395" w:rsidP="00884395">
            <w:pPr>
              <w:rPr>
                <w:rFonts w:ascii="Arial" w:hAnsi="Arial" w:cs="Arial"/>
                <w:sz w:val="10"/>
              </w:rPr>
            </w:pPr>
          </w:p>
        </w:tc>
      </w:tr>
      <w:tr w:rsidR="00884395" w:rsidRPr="00C2322F" w14:paraId="1B8147B2" w14:textId="77777777" w:rsidTr="00D76428">
        <w:tc>
          <w:tcPr>
            <w:tcW w:w="10340" w:type="dxa"/>
            <w:gridSpan w:val="4"/>
            <w:shd w:val="clear" w:color="auto" w:fill="auto"/>
          </w:tcPr>
          <w:p w14:paraId="7FC74004" w14:textId="77777777" w:rsidR="00FE5457" w:rsidRPr="00C22D31" w:rsidRDefault="00FE5457" w:rsidP="00FE5457">
            <w:pPr>
              <w:numPr>
                <w:ilvl w:val="0"/>
                <w:numId w:val="5"/>
              </w:numPr>
              <w:rPr>
                <w:rFonts w:ascii="Arial" w:hAnsi="Arial" w:cs="Arial"/>
                <w:sz w:val="20"/>
              </w:rPr>
            </w:pPr>
            <w:r w:rsidRPr="00C22D31">
              <w:rPr>
                <w:rFonts w:ascii="Arial" w:hAnsi="Arial" w:cs="Arial"/>
                <w:i/>
                <w:iCs/>
                <w:sz w:val="20"/>
              </w:rPr>
              <w:t>If you or someone you know needs assistance, you are encouraged to contact Student Care and Outreach in the Division of Student Affairs at 706-542-7774 or visit </w:t>
            </w:r>
            <w:hyperlink r:id="rId8" w:history="1">
              <w:r w:rsidRPr="00C22D31">
                <w:rPr>
                  <w:rStyle w:val="Hyperlink"/>
                  <w:rFonts w:ascii="Arial" w:hAnsi="Arial" w:cs="Arial"/>
                  <w:i/>
                  <w:iCs/>
                  <w:sz w:val="20"/>
                </w:rPr>
                <w:t>https://sco.uga.edu</w:t>
              </w:r>
            </w:hyperlink>
            <w:r w:rsidRPr="00C22D31">
              <w:rPr>
                <w:rFonts w:ascii="Arial" w:hAnsi="Arial" w:cs="Arial"/>
                <w:i/>
                <w:iCs/>
                <w:sz w:val="20"/>
              </w:rPr>
              <w:t>. They will help you navigate any difficult circumstances you may be facing by connecting you with the appropriate resources or services. </w:t>
            </w:r>
          </w:p>
          <w:p w14:paraId="19EFE45F" w14:textId="77777777" w:rsidR="00FE5457" w:rsidRPr="00C22D31" w:rsidRDefault="00FE5457" w:rsidP="00FE5457">
            <w:pPr>
              <w:numPr>
                <w:ilvl w:val="0"/>
                <w:numId w:val="5"/>
              </w:numPr>
              <w:rPr>
                <w:rFonts w:ascii="Arial" w:hAnsi="Arial" w:cs="Arial"/>
                <w:sz w:val="20"/>
              </w:rPr>
            </w:pPr>
            <w:r w:rsidRPr="00C22D31">
              <w:rPr>
                <w:rFonts w:ascii="Arial" w:hAnsi="Arial" w:cs="Arial"/>
                <w:i/>
                <w:iCs/>
                <w:sz w:val="20"/>
              </w:rPr>
              <w:t>UGA has several resources for a student seeking mental health services (</w:t>
            </w:r>
            <w:hyperlink r:id="rId9" w:history="1">
              <w:r w:rsidRPr="00C22D31">
                <w:rPr>
                  <w:rStyle w:val="Hyperlink"/>
                  <w:rFonts w:ascii="Arial" w:hAnsi="Arial" w:cs="Arial"/>
                  <w:i/>
                  <w:iCs/>
                  <w:sz w:val="20"/>
                </w:rPr>
                <w:t>https://www.uhs.uga.edu/bewelluga/bewelluga</w:t>
              </w:r>
            </w:hyperlink>
            <w:r w:rsidRPr="00C22D31">
              <w:rPr>
                <w:rFonts w:ascii="Arial" w:hAnsi="Arial" w:cs="Arial"/>
                <w:i/>
                <w:iCs/>
                <w:sz w:val="20"/>
              </w:rPr>
              <w:t>) or crisis support (</w:t>
            </w:r>
            <w:hyperlink r:id="rId10" w:history="1">
              <w:r w:rsidRPr="00C22D31">
                <w:rPr>
                  <w:rStyle w:val="Hyperlink"/>
                  <w:rFonts w:ascii="Arial" w:hAnsi="Arial" w:cs="Arial"/>
                  <w:i/>
                  <w:iCs/>
                  <w:sz w:val="20"/>
                </w:rPr>
                <w:t>https://www.uhs.uga.edu/info/emergencies</w:t>
              </w:r>
            </w:hyperlink>
            <w:r w:rsidRPr="00C22D31">
              <w:rPr>
                <w:rFonts w:ascii="Arial" w:hAnsi="Arial" w:cs="Arial"/>
                <w:i/>
                <w:iCs/>
                <w:sz w:val="20"/>
              </w:rPr>
              <w:t>). </w:t>
            </w:r>
          </w:p>
          <w:p w14:paraId="2318E15D" w14:textId="77777777" w:rsidR="00FE5457" w:rsidRPr="00C22D31" w:rsidRDefault="00FE5457" w:rsidP="00FE5457">
            <w:pPr>
              <w:numPr>
                <w:ilvl w:val="0"/>
                <w:numId w:val="5"/>
              </w:numPr>
              <w:rPr>
                <w:rFonts w:ascii="Arial" w:hAnsi="Arial" w:cs="Arial"/>
                <w:sz w:val="20"/>
              </w:rPr>
            </w:pPr>
            <w:r w:rsidRPr="00C22D31">
              <w:rPr>
                <w:rFonts w:ascii="Arial" w:hAnsi="Arial" w:cs="Arial"/>
                <w:i/>
                <w:iCs/>
                <w:sz w:val="20"/>
              </w:rPr>
              <w:t xml:space="preserve">If you need help managing stress anxiety, relationships, etc., please visit </w:t>
            </w:r>
            <w:proofErr w:type="spellStart"/>
            <w:r w:rsidRPr="00C22D31">
              <w:rPr>
                <w:rFonts w:ascii="Arial" w:hAnsi="Arial" w:cs="Arial"/>
                <w:i/>
                <w:iCs/>
                <w:sz w:val="20"/>
              </w:rPr>
              <w:t>BeWellUGA</w:t>
            </w:r>
            <w:proofErr w:type="spellEnd"/>
            <w:r w:rsidRPr="00C22D31">
              <w:rPr>
                <w:rFonts w:ascii="Arial" w:hAnsi="Arial" w:cs="Arial"/>
                <w:i/>
                <w:iCs/>
                <w:sz w:val="20"/>
              </w:rPr>
              <w:t xml:space="preserve"> (</w:t>
            </w:r>
            <w:hyperlink r:id="rId11" w:history="1">
              <w:r w:rsidRPr="00C22D31">
                <w:rPr>
                  <w:rStyle w:val="Hyperlink"/>
                  <w:rFonts w:ascii="Arial" w:hAnsi="Arial" w:cs="Arial"/>
                  <w:i/>
                  <w:iCs/>
                  <w:sz w:val="20"/>
                </w:rPr>
                <w:t>https://www.uhs.uga.edu/bewelluga/bewelluga</w:t>
              </w:r>
            </w:hyperlink>
            <w:r w:rsidRPr="00C22D31">
              <w:rPr>
                <w:rFonts w:ascii="Arial" w:hAnsi="Arial" w:cs="Arial"/>
                <w:i/>
                <w:iCs/>
                <w:sz w:val="20"/>
              </w:rPr>
              <w:t>) for a list of FREE workshops, classes, mentoring, and health coaching led by licensed clinicians and health educators in the University Health Center.</w:t>
            </w:r>
          </w:p>
          <w:p w14:paraId="5DC2F6C2" w14:textId="25195857" w:rsidR="00884395" w:rsidRPr="00FE5457" w:rsidRDefault="00FE5457" w:rsidP="00FE5457">
            <w:pPr>
              <w:pStyle w:val="ListParagraph"/>
              <w:numPr>
                <w:ilvl w:val="0"/>
                <w:numId w:val="5"/>
              </w:numPr>
              <w:rPr>
                <w:rFonts w:ascii="Arial" w:hAnsi="Arial" w:cs="Arial"/>
                <w:sz w:val="20"/>
              </w:rPr>
            </w:pPr>
            <w:r w:rsidRPr="00FE5457">
              <w:rPr>
                <w:rFonts w:ascii="Arial" w:hAnsi="Arial" w:cs="Arial"/>
                <w:i/>
                <w:iCs/>
                <w:sz w:val="20"/>
              </w:rPr>
              <w:t>Additional resources can be accessed through the UGA App.</w:t>
            </w:r>
          </w:p>
        </w:tc>
      </w:tr>
      <w:tr w:rsidR="00884395" w:rsidRPr="00C2322F" w14:paraId="5604394C" w14:textId="77777777" w:rsidTr="00D76428">
        <w:tc>
          <w:tcPr>
            <w:tcW w:w="10340" w:type="dxa"/>
            <w:gridSpan w:val="4"/>
            <w:shd w:val="clear" w:color="auto" w:fill="auto"/>
          </w:tcPr>
          <w:p w14:paraId="49A83BA0" w14:textId="77777777" w:rsidR="00884395" w:rsidRPr="00C2322F" w:rsidRDefault="00884395" w:rsidP="00884395">
            <w:pPr>
              <w:rPr>
                <w:rFonts w:ascii="Arial" w:hAnsi="Arial" w:cs="Arial"/>
                <w:sz w:val="20"/>
              </w:rPr>
            </w:pPr>
          </w:p>
        </w:tc>
      </w:tr>
      <w:tr w:rsidR="00930662" w:rsidRPr="00C2322F" w14:paraId="74B41844" w14:textId="77777777" w:rsidTr="00D76428">
        <w:tc>
          <w:tcPr>
            <w:tcW w:w="10340" w:type="dxa"/>
            <w:gridSpan w:val="4"/>
            <w:shd w:val="clear" w:color="auto" w:fill="auto"/>
          </w:tcPr>
          <w:p w14:paraId="3C6B1FEA" w14:textId="3525266B" w:rsidR="00930662" w:rsidRPr="002457B1" w:rsidRDefault="00930662" w:rsidP="00930662">
            <w:pPr>
              <w:jc w:val="center"/>
              <w:rPr>
                <w:rFonts w:ascii="Arial" w:hAnsi="Arial" w:cs="Arial"/>
                <w:b/>
                <w:sz w:val="20"/>
              </w:rPr>
            </w:pPr>
            <w:r w:rsidRPr="00A744F2">
              <w:rPr>
                <w:rFonts w:ascii="Arial" w:hAnsi="Arial" w:cs="Arial"/>
                <w:b/>
                <w:sz w:val="20"/>
              </w:rPr>
              <w:t>Coron</w:t>
            </w:r>
            <w:r>
              <w:rPr>
                <w:rFonts w:ascii="Arial" w:hAnsi="Arial" w:cs="Arial"/>
                <w:b/>
                <w:sz w:val="20"/>
              </w:rPr>
              <w:t>avirus Information for Students</w:t>
            </w:r>
          </w:p>
        </w:tc>
      </w:tr>
      <w:tr w:rsidR="00930662" w14:paraId="4D5722AF" w14:textId="77777777" w:rsidTr="00943ED6">
        <w:tc>
          <w:tcPr>
            <w:tcW w:w="10340" w:type="dxa"/>
            <w:gridSpan w:val="4"/>
            <w:shd w:val="clear" w:color="auto" w:fill="auto"/>
          </w:tcPr>
          <w:p w14:paraId="05273CE0" w14:textId="6D3FAF0F" w:rsidR="00930662" w:rsidRDefault="00930662" w:rsidP="00930662">
            <w:pPr>
              <w:rPr>
                <w:rFonts w:ascii="Arial" w:hAnsi="Arial" w:cs="Arial"/>
                <w:b/>
                <w:sz w:val="20"/>
              </w:rPr>
            </w:pPr>
          </w:p>
        </w:tc>
      </w:tr>
      <w:tr w:rsidR="00930662" w14:paraId="1F22AC6F" w14:textId="77777777" w:rsidTr="00943ED6">
        <w:tc>
          <w:tcPr>
            <w:tcW w:w="10340" w:type="dxa"/>
            <w:gridSpan w:val="4"/>
            <w:shd w:val="clear" w:color="auto" w:fill="auto"/>
          </w:tcPr>
          <w:p w14:paraId="0E09902E" w14:textId="77777777" w:rsidR="00930662" w:rsidRPr="00A744F2" w:rsidRDefault="00930662" w:rsidP="00930662">
            <w:pPr>
              <w:rPr>
                <w:rFonts w:ascii="Arial" w:hAnsi="Arial" w:cs="Arial"/>
                <w:sz w:val="20"/>
              </w:rPr>
            </w:pPr>
            <w:r w:rsidRPr="00A744F2">
              <w:rPr>
                <w:rFonts w:ascii="Arial" w:hAnsi="Arial" w:cs="Arial"/>
                <w:sz w:val="20"/>
              </w:rPr>
              <w:t>Face Coverings</w:t>
            </w:r>
            <w:r>
              <w:rPr>
                <w:rFonts w:ascii="Arial" w:hAnsi="Arial" w:cs="Arial"/>
                <w:sz w:val="20"/>
              </w:rPr>
              <w:t>, Social Distancing, and Sanitation</w:t>
            </w:r>
            <w:r w:rsidRPr="00A744F2">
              <w:rPr>
                <w:rFonts w:ascii="Arial" w:hAnsi="Arial" w:cs="Arial"/>
                <w:sz w:val="20"/>
              </w:rPr>
              <w:t>:</w:t>
            </w:r>
          </w:p>
          <w:p w14:paraId="1FECFAB2" w14:textId="77777777" w:rsidR="00930662" w:rsidRPr="00A744F2" w:rsidRDefault="00930662" w:rsidP="00930662">
            <w:pPr>
              <w:rPr>
                <w:rFonts w:ascii="Arial" w:hAnsi="Arial" w:cs="Arial"/>
                <w:sz w:val="20"/>
              </w:rPr>
            </w:pPr>
          </w:p>
          <w:p w14:paraId="615A4B2A" w14:textId="77777777" w:rsidR="00930662" w:rsidRDefault="00930662" w:rsidP="00930662">
            <w:pPr>
              <w:rPr>
                <w:rFonts w:ascii="Arial" w:hAnsi="Arial" w:cs="Arial"/>
                <w:sz w:val="20"/>
              </w:rPr>
            </w:pPr>
            <w:r w:rsidRPr="00A744F2">
              <w:rPr>
                <w:rFonts w:ascii="Arial" w:hAnsi="Arial" w:cs="Arial"/>
                <w:sz w:val="20"/>
              </w:rPr>
              <w:t xml:space="preserve">Effective July 15, 2020, the University of Georgia—along with all University System of Georgia (USG) institutions—requires all faculty, staff, </w:t>
            </w:r>
            <w:proofErr w:type="gramStart"/>
            <w:r w:rsidRPr="00A744F2">
              <w:rPr>
                <w:rFonts w:ascii="Arial" w:hAnsi="Arial" w:cs="Arial"/>
                <w:sz w:val="20"/>
              </w:rPr>
              <w:t>students</w:t>
            </w:r>
            <w:proofErr w:type="gramEnd"/>
            <w:r w:rsidRPr="00A744F2">
              <w:rPr>
                <w:rFonts w:ascii="Arial" w:hAnsi="Arial" w:cs="Arial"/>
                <w:sz w:val="20"/>
              </w:rPr>
              <w:t xml:space="preserve"> and visitors to wear an appropriate face covering while inside campus facilities/buildings where six feet social distancing may not always be possible. Face covering use is in addition to and is not a substitute for social distancing. Anyone not using a face covering when required will be asked to wear one or must leave the area. Reasonable accommodations may be made for those who are unable to wear a face covering for documented health reasons. Students seeking an accommodation related to face coverings should contact Disability Services at </w:t>
            </w:r>
            <w:hyperlink r:id="rId12" w:history="1">
              <w:r w:rsidRPr="00BF0EF7">
                <w:rPr>
                  <w:rStyle w:val="Hyperlink"/>
                  <w:rFonts w:ascii="Arial" w:hAnsi="Arial" w:cs="Arial"/>
                  <w:sz w:val="20"/>
                </w:rPr>
                <w:t>https://drc.uga.edu/</w:t>
              </w:r>
            </w:hyperlink>
            <w:r w:rsidRPr="00A744F2">
              <w:rPr>
                <w:rFonts w:ascii="Arial" w:hAnsi="Arial" w:cs="Arial"/>
                <w:sz w:val="20"/>
              </w:rPr>
              <w:t>.</w:t>
            </w:r>
          </w:p>
          <w:p w14:paraId="6002758E" w14:textId="77777777" w:rsidR="00930662" w:rsidRDefault="00930662" w:rsidP="00930662">
            <w:pPr>
              <w:rPr>
                <w:rFonts w:ascii="Arial" w:hAnsi="Arial" w:cs="Arial"/>
                <w:sz w:val="20"/>
              </w:rPr>
            </w:pPr>
          </w:p>
          <w:p w14:paraId="5964A69F" w14:textId="77777777" w:rsidR="00930662" w:rsidRPr="00A744F2" w:rsidRDefault="00930662" w:rsidP="00930662">
            <w:pPr>
              <w:rPr>
                <w:rFonts w:ascii="Arial" w:hAnsi="Arial" w:cs="Arial"/>
                <w:sz w:val="20"/>
              </w:rPr>
            </w:pPr>
            <w:r w:rsidRPr="00A744F2">
              <w:rPr>
                <w:rFonts w:ascii="Arial" w:hAnsi="Arial" w:cs="Arial"/>
                <w:sz w:val="20"/>
              </w:rPr>
              <w:t xml:space="preserve">In all public spaces in Baldwin Hall (including stairwells, halls, offices, bathrooms, classrooms, and labs), please maintain six feet between you and others. The seating capacity in your classroom has been modified to allow for social distancing. Please sit in designated, marked seats.  In all public spaces, including classrooms, you should not remove signage or re-arrange furniture, even if it appears that furniture is not being used.  To help maintain distance, please keep right, where possible.  If you enter/exit through the front doors of Baldwin, please follow the signs (and traffic) directing you through a specific set of doors. </w:t>
            </w:r>
          </w:p>
          <w:p w14:paraId="0558FA08" w14:textId="77777777" w:rsidR="00930662" w:rsidRPr="00A744F2" w:rsidRDefault="00930662" w:rsidP="00930662">
            <w:pPr>
              <w:rPr>
                <w:rFonts w:ascii="Arial" w:hAnsi="Arial" w:cs="Arial"/>
                <w:sz w:val="20"/>
              </w:rPr>
            </w:pPr>
          </w:p>
          <w:p w14:paraId="417CB755" w14:textId="77777777" w:rsidR="00930662" w:rsidRPr="00A744F2" w:rsidRDefault="00930662" w:rsidP="00930662">
            <w:pPr>
              <w:rPr>
                <w:rFonts w:ascii="Arial" w:hAnsi="Arial" w:cs="Arial"/>
                <w:sz w:val="20"/>
              </w:rPr>
            </w:pPr>
            <w:r w:rsidRPr="00A744F2">
              <w:rPr>
                <w:rFonts w:ascii="Arial" w:hAnsi="Arial" w:cs="Arial"/>
                <w:sz w:val="20"/>
              </w:rPr>
              <w:t xml:space="preserve">If you want to spend some time chatting with someone, please take it outside or online. We are also requesting that you enter and exit Baldwin without delay, staying outside of the building </w:t>
            </w:r>
            <w:proofErr w:type="gramStart"/>
            <w:r w:rsidRPr="00A744F2">
              <w:rPr>
                <w:rFonts w:ascii="Arial" w:hAnsi="Arial" w:cs="Arial"/>
                <w:sz w:val="20"/>
              </w:rPr>
              <w:t>as long as</w:t>
            </w:r>
            <w:proofErr w:type="gramEnd"/>
            <w:r w:rsidRPr="00A744F2">
              <w:rPr>
                <w:rFonts w:ascii="Arial" w:hAnsi="Arial" w:cs="Arial"/>
                <w:sz w:val="20"/>
              </w:rPr>
              <w:t xml:space="preserve"> practicable before your class begins and then leaving once your class if finished.  </w:t>
            </w:r>
          </w:p>
          <w:p w14:paraId="68921B15" w14:textId="77777777" w:rsidR="00930662" w:rsidRPr="00A744F2" w:rsidRDefault="00930662" w:rsidP="00930662">
            <w:pPr>
              <w:rPr>
                <w:rFonts w:ascii="Arial" w:hAnsi="Arial" w:cs="Arial"/>
                <w:sz w:val="20"/>
              </w:rPr>
            </w:pPr>
          </w:p>
          <w:p w14:paraId="4825E15A" w14:textId="77777777" w:rsidR="00930662" w:rsidRPr="00A744F2" w:rsidRDefault="00930662" w:rsidP="00930662">
            <w:pPr>
              <w:rPr>
                <w:rFonts w:ascii="Arial" w:hAnsi="Arial" w:cs="Arial"/>
                <w:sz w:val="20"/>
              </w:rPr>
            </w:pPr>
            <w:r w:rsidRPr="00A744F2">
              <w:rPr>
                <w:rFonts w:ascii="Arial" w:hAnsi="Arial" w:cs="Arial"/>
                <w:sz w:val="20"/>
              </w:rPr>
              <w:t xml:space="preserve">Cleaning and disinfecting of public spaces are important to reduce the risk of exposure to COVID-19. Classrooms are only being cleaned once-per-day. There are sanitation wipes/buckets and stands in proximity to your classroom. Prior to heading </w:t>
            </w:r>
            <w:proofErr w:type="gramStart"/>
            <w:r w:rsidRPr="00A744F2">
              <w:rPr>
                <w:rFonts w:ascii="Arial" w:hAnsi="Arial" w:cs="Arial"/>
                <w:sz w:val="20"/>
              </w:rPr>
              <w:t>in to</w:t>
            </w:r>
            <w:proofErr w:type="gramEnd"/>
            <w:r w:rsidRPr="00A744F2">
              <w:rPr>
                <w:rFonts w:ascii="Arial" w:hAnsi="Arial" w:cs="Arial"/>
                <w:sz w:val="20"/>
              </w:rPr>
              <w:t xml:space="preserve"> class, you should take a wipe from the station and wipe down all high-touch surfaces associated with your seat. You should help further slow the spread of the virus by frequently washing your hands. Bathrooms will be cleaned frequently during the day.  On occasions that bathrooms are closed for cleaning, you may need to use those on other floors or in other buildings.  Please be conscious of the density of traffic in bathrooms and practice social distancing.</w:t>
            </w:r>
          </w:p>
          <w:p w14:paraId="704302AC" w14:textId="77777777" w:rsidR="00930662" w:rsidRPr="00A744F2" w:rsidRDefault="00930662" w:rsidP="00930662">
            <w:pPr>
              <w:rPr>
                <w:rFonts w:ascii="Arial" w:hAnsi="Arial" w:cs="Arial"/>
                <w:sz w:val="20"/>
              </w:rPr>
            </w:pPr>
          </w:p>
          <w:p w14:paraId="55CA7D8A" w14:textId="77777777" w:rsidR="00930662" w:rsidRPr="00A744F2" w:rsidRDefault="00930662" w:rsidP="00930662">
            <w:pPr>
              <w:rPr>
                <w:rFonts w:ascii="Arial" w:hAnsi="Arial" w:cs="Arial"/>
                <w:sz w:val="20"/>
              </w:rPr>
            </w:pPr>
            <w:proofErr w:type="spellStart"/>
            <w:r w:rsidRPr="00A744F2">
              <w:rPr>
                <w:rFonts w:ascii="Arial" w:hAnsi="Arial" w:cs="Arial"/>
                <w:sz w:val="20"/>
              </w:rPr>
              <w:t>DawgCheck</w:t>
            </w:r>
            <w:proofErr w:type="spellEnd"/>
            <w:r w:rsidRPr="00A744F2">
              <w:rPr>
                <w:rFonts w:ascii="Arial" w:hAnsi="Arial" w:cs="Arial"/>
                <w:sz w:val="20"/>
              </w:rPr>
              <w:t>:</w:t>
            </w:r>
          </w:p>
          <w:p w14:paraId="543EF71D" w14:textId="77777777" w:rsidR="00930662" w:rsidRPr="00A744F2" w:rsidRDefault="00930662" w:rsidP="00930662">
            <w:pPr>
              <w:rPr>
                <w:rFonts w:ascii="Arial" w:hAnsi="Arial" w:cs="Arial"/>
                <w:sz w:val="20"/>
              </w:rPr>
            </w:pPr>
          </w:p>
          <w:p w14:paraId="0E9B0787" w14:textId="77777777" w:rsidR="00930662" w:rsidRPr="00A744F2" w:rsidRDefault="00930662" w:rsidP="00930662">
            <w:pPr>
              <w:rPr>
                <w:rFonts w:ascii="Arial" w:hAnsi="Arial" w:cs="Arial"/>
                <w:sz w:val="20"/>
              </w:rPr>
            </w:pPr>
            <w:r w:rsidRPr="00A744F2">
              <w:rPr>
                <w:rFonts w:ascii="Arial" w:hAnsi="Arial" w:cs="Arial"/>
                <w:sz w:val="20"/>
              </w:rPr>
              <w:t xml:space="preserve">Please perform a quick symptom check each weekday on </w:t>
            </w:r>
            <w:proofErr w:type="spellStart"/>
            <w:r w:rsidRPr="00A744F2">
              <w:rPr>
                <w:rFonts w:ascii="Arial" w:hAnsi="Arial" w:cs="Arial"/>
                <w:sz w:val="20"/>
              </w:rPr>
              <w:t>DawgCheck</w:t>
            </w:r>
            <w:proofErr w:type="spellEnd"/>
            <w:r w:rsidRPr="00A744F2">
              <w:rPr>
                <w:rFonts w:ascii="Arial" w:hAnsi="Arial" w:cs="Arial"/>
                <w:sz w:val="20"/>
              </w:rPr>
              <w:t>—on the UGA app or website—whether you feel sick or not. It will help health providers monitor the health situation on campus: https://dawgcheck.uga.edu/</w:t>
            </w:r>
          </w:p>
          <w:p w14:paraId="6C7C8069" w14:textId="77777777" w:rsidR="00930662" w:rsidRPr="00A744F2" w:rsidRDefault="00930662" w:rsidP="00930662">
            <w:pPr>
              <w:rPr>
                <w:rFonts w:ascii="Arial" w:hAnsi="Arial" w:cs="Arial"/>
                <w:sz w:val="20"/>
              </w:rPr>
            </w:pPr>
          </w:p>
          <w:p w14:paraId="7F572916" w14:textId="77777777" w:rsidR="00930662" w:rsidRPr="00A744F2" w:rsidRDefault="00930662" w:rsidP="00930662">
            <w:pPr>
              <w:rPr>
                <w:rFonts w:ascii="Arial" w:hAnsi="Arial" w:cs="Arial"/>
                <w:sz w:val="20"/>
              </w:rPr>
            </w:pPr>
            <w:r w:rsidRPr="00A744F2">
              <w:rPr>
                <w:rFonts w:ascii="Arial" w:hAnsi="Arial" w:cs="Arial"/>
                <w:sz w:val="20"/>
              </w:rPr>
              <w:t>What do I do if I have symptoms?</w:t>
            </w:r>
          </w:p>
          <w:p w14:paraId="4DD03564" w14:textId="77777777" w:rsidR="00930662" w:rsidRPr="00A744F2" w:rsidRDefault="00930662" w:rsidP="00930662">
            <w:pPr>
              <w:rPr>
                <w:rFonts w:ascii="Arial" w:hAnsi="Arial" w:cs="Arial"/>
                <w:sz w:val="20"/>
              </w:rPr>
            </w:pPr>
          </w:p>
          <w:p w14:paraId="479D15AB" w14:textId="77777777" w:rsidR="00930662" w:rsidRPr="00A744F2" w:rsidRDefault="00930662" w:rsidP="00930662">
            <w:pPr>
              <w:rPr>
                <w:rFonts w:ascii="Arial" w:hAnsi="Arial" w:cs="Arial"/>
                <w:sz w:val="20"/>
              </w:rPr>
            </w:pPr>
            <w:r w:rsidRPr="00A744F2">
              <w:rPr>
                <w:rFonts w:ascii="Arial" w:hAnsi="Arial" w:cs="Arial"/>
                <w:sz w:val="20"/>
              </w:rPr>
              <w:t>Students showing symptoms should self-isolate and schedule an appointment with the University Health Center by calling 706-542-1162 (Monday-Friday, 8 a.m.-5 p.m.). Please DO NOT walk-in. For emergencies and after-hours care, see https://www.uhs.uga.edu/info/emergencies.</w:t>
            </w:r>
          </w:p>
          <w:p w14:paraId="705520E0" w14:textId="77777777" w:rsidR="00930662" w:rsidRPr="00A744F2" w:rsidRDefault="00930662" w:rsidP="00930662">
            <w:pPr>
              <w:rPr>
                <w:rFonts w:ascii="Arial" w:hAnsi="Arial" w:cs="Arial"/>
                <w:sz w:val="20"/>
              </w:rPr>
            </w:pPr>
          </w:p>
          <w:p w14:paraId="0CDB36D3" w14:textId="77777777" w:rsidR="00930662" w:rsidRPr="00A744F2" w:rsidRDefault="00930662" w:rsidP="00930662">
            <w:pPr>
              <w:rPr>
                <w:rFonts w:ascii="Arial" w:hAnsi="Arial" w:cs="Arial"/>
                <w:sz w:val="20"/>
              </w:rPr>
            </w:pPr>
            <w:r w:rsidRPr="00A744F2">
              <w:rPr>
                <w:rFonts w:ascii="Arial" w:hAnsi="Arial" w:cs="Arial"/>
                <w:sz w:val="20"/>
              </w:rPr>
              <w:t>What do I do if I am notified that I have been exposed?</w:t>
            </w:r>
          </w:p>
          <w:p w14:paraId="50D30375" w14:textId="77777777" w:rsidR="00930662" w:rsidRPr="00A744F2" w:rsidRDefault="00930662" w:rsidP="00930662">
            <w:pPr>
              <w:rPr>
                <w:rFonts w:ascii="Arial" w:hAnsi="Arial" w:cs="Arial"/>
                <w:sz w:val="20"/>
              </w:rPr>
            </w:pPr>
          </w:p>
          <w:p w14:paraId="4A38924B" w14:textId="77777777" w:rsidR="00930662" w:rsidRPr="00A744F2" w:rsidRDefault="00930662" w:rsidP="00930662">
            <w:pPr>
              <w:rPr>
                <w:rFonts w:ascii="Arial" w:hAnsi="Arial" w:cs="Arial"/>
                <w:sz w:val="20"/>
              </w:rPr>
            </w:pPr>
            <w:r w:rsidRPr="00A744F2">
              <w:rPr>
                <w:rFonts w:ascii="Arial" w:hAnsi="Arial" w:cs="Arial"/>
                <w:sz w:val="20"/>
              </w:rPr>
              <w:t xml:space="preserve">Students who learn they have been directly exposed to COVID-19 but are not showing symptoms should self-quarantine for 14 days consistent with Department of Public Health (DPH) and Centers for Disease Control and Prevention (CDC) guidelines. Please correspond with your instructor via email, with a cc: to Student Care &amp; Outreach at sco@uga.edu, to coordinate continuing your coursework while self-quarantined. If you develop symptoms, you should contact the University Health Center to make an appointment to be tested. You should continue to monitor your symptoms daily on </w:t>
            </w:r>
            <w:proofErr w:type="spellStart"/>
            <w:r w:rsidRPr="00A744F2">
              <w:rPr>
                <w:rFonts w:ascii="Arial" w:hAnsi="Arial" w:cs="Arial"/>
                <w:sz w:val="20"/>
              </w:rPr>
              <w:t>DawgCheck</w:t>
            </w:r>
            <w:proofErr w:type="spellEnd"/>
            <w:r w:rsidRPr="00A744F2">
              <w:rPr>
                <w:rFonts w:ascii="Arial" w:hAnsi="Arial" w:cs="Arial"/>
                <w:sz w:val="20"/>
              </w:rPr>
              <w:t>.</w:t>
            </w:r>
          </w:p>
          <w:p w14:paraId="77512B92" w14:textId="77777777" w:rsidR="00930662" w:rsidRPr="00A744F2" w:rsidRDefault="00930662" w:rsidP="00930662">
            <w:pPr>
              <w:rPr>
                <w:rFonts w:ascii="Arial" w:hAnsi="Arial" w:cs="Arial"/>
                <w:sz w:val="20"/>
              </w:rPr>
            </w:pPr>
          </w:p>
          <w:p w14:paraId="00018890" w14:textId="77777777" w:rsidR="00930662" w:rsidRPr="00A744F2" w:rsidRDefault="00930662" w:rsidP="00930662">
            <w:pPr>
              <w:rPr>
                <w:rFonts w:ascii="Arial" w:hAnsi="Arial" w:cs="Arial"/>
                <w:sz w:val="20"/>
              </w:rPr>
            </w:pPr>
            <w:r w:rsidRPr="00A744F2">
              <w:rPr>
                <w:rFonts w:ascii="Arial" w:hAnsi="Arial" w:cs="Arial"/>
                <w:sz w:val="20"/>
              </w:rPr>
              <w:t>How do I get a test?</w:t>
            </w:r>
          </w:p>
          <w:p w14:paraId="55E0ADFD" w14:textId="77777777" w:rsidR="00930662" w:rsidRPr="00A744F2" w:rsidRDefault="00930662" w:rsidP="00930662">
            <w:pPr>
              <w:rPr>
                <w:rFonts w:ascii="Arial" w:hAnsi="Arial" w:cs="Arial"/>
                <w:sz w:val="20"/>
              </w:rPr>
            </w:pPr>
          </w:p>
          <w:p w14:paraId="277FAD29" w14:textId="77777777" w:rsidR="00930662" w:rsidRPr="00A744F2" w:rsidRDefault="00930662" w:rsidP="00930662">
            <w:pPr>
              <w:rPr>
                <w:rFonts w:ascii="Arial" w:hAnsi="Arial" w:cs="Arial"/>
                <w:sz w:val="20"/>
              </w:rPr>
            </w:pPr>
            <w:r w:rsidRPr="00A744F2">
              <w:rPr>
                <w:rFonts w:ascii="Arial" w:hAnsi="Arial" w:cs="Arial"/>
                <w:sz w:val="20"/>
              </w:rPr>
              <w:t>Students who are demonstrating symptoms of COVID-19 should call the University Health Center. UHC is offering testing by appointment for students; appointments may be booked by calling 706-542-1162.</w:t>
            </w:r>
          </w:p>
          <w:p w14:paraId="6822D4F6" w14:textId="77777777" w:rsidR="00930662" w:rsidRPr="00A744F2" w:rsidRDefault="00930662" w:rsidP="00930662">
            <w:pPr>
              <w:rPr>
                <w:rFonts w:ascii="Arial" w:hAnsi="Arial" w:cs="Arial"/>
                <w:sz w:val="20"/>
              </w:rPr>
            </w:pPr>
          </w:p>
          <w:p w14:paraId="1B50BDC2" w14:textId="77777777" w:rsidR="00930662" w:rsidRPr="00A744F2" w:rsidRDefault="00930662" w:rsidP="00930662">
            <w:pPr>
              <w:rPr>
                <w:rFonts w:ascii="Arial" w:hAnsi="Arial" w:cs="Arial"/>
                <w:sz w:val="20"/>
              </w:rPr>
            </w:pPr>
            <w:r w:rsidRPr="00A744F2">
              <w:rPr>
                <w:rFonts w:ascii="Arial" w:hAnsi="Arial" w:cs="Arial"/>
                <w:sz w:val="20"/>
              </w:rPr>
              <w:t>UGA will also be recruiting asymptomatic students to participate in surveillance tests. Students living in residence halls, Greek housing and off-campus apartment complexes are encouraged to participate.</w:t>
            </w:r>
          </w:p>
          <w:p w14:paraId="038C6D88" w14:textId="77777777" w:rsidR="00930662" w:rsidRPr="00A744F2" w:rsidRDefault="00930662" w:rsidP="00930662">
            <w:pPr>
              <w:rPr>
                <w:rFonts w:ascii="Arial" w:hAnsi="Arial" w:cs="Arial"/>
                <w:sz w:val="20"/>
              </w:rPr>
            </w:pPr>
          </w:p>
          <w:p w14:paraId="3D52BAC5" w14:textId="77777777" w:rsidR="00930662" w:rsidRPr="00A744F2" w:rsidRDefault="00930662" w:rsidP="00930662">
            <w:pPr>
              <w:rPr>
                <w:rFonts w:ascii="Arial" w:hAnsi="Arial" w:cs="Arial"/>
                <w:sz w:val="20"/>
              </w:rPr>
            </w:pPr>
            <w:r w:rsidRPr="00A744F2">
              <w:rPr>
                <w:rFonts w:ascii="Arial" w:hAnsi="Arial" w:cs="Arial"/>
                <w:sz w:val="20"/>
              </w:rPr>
              <w:t>What do I do if I test positive?</w:t>
            </w:r>
          </w:p>
          <w:p w14:paraId="29D3F288" w14:textId="77777777" w:rsidR="00930662" w:rsidRPr="00A744F2" w:rsidRDefault="00930662" w:rsidP="00930662">
            <w:pPr>
              <w:rPr>
                <w:rFonts w:ascii="Arial" w:hAnsi="Arial" w:cs="Arial"/>
                <w:sz w:val="20"/>
              </w:rPr>
            </w:pPr>
          </w:p>
          <w:p w14:paraId="7688BDE1" w14:textId="77777777" w:rsidR="00930662" w:rsidRDefault="00930662" w:rsidP="00930662">
            <w:pPr>
              <w:rPr>
                <w:rFonts w:ascii="Arial" w:hAnsi="Arial" w:cs="Arial"/>
                <w:sz w:val="20"/>
              </w:rPr>
            </w:pPr>
            <w:r w:rsidRPr="00A744F2">
              <w:rPr>
                <w:rFonts w:ascii="Arial" w:hAnsi="Arial" w:cs="Arial"/>
                <w:sz w:val="20"/>
              </w:rPr>
              <w:t xml:space="preserve">Any student with a positive COVID-19 test is required to report the test in </w:t>
            </w:r>
            <w:proofErr w:type="spellStart"/>
            <w:r w:rsidRPr="00A744F2">
              <w:rPr>
                <w:rFonts w:ascii="Arial" w:hAnsi="Arial" w:cs="Arial"/>
                <w:sz w:val="20"/>
              </w:rPr>
              <w:t>DawgCheck</w:t>
            </w:r>
            <w:proofErr w:type="spellEnd"/>
            <w:r w:rsidRPr="00A744F2">
              <w:rPr>
                <w:rFonts w:ascii="Arial" w:hAnsi="Arial" w:cs="Arial"/>
                <w:sz w:val="20"/>
              </w:rPr>
              <w:t xml:space="preserve"> and should self-isolate immediately. Students should not attend classes in-person until the isolation period is completed. Once you report the positive test through </w:t>
            </w:r>
            <w:proofErr w:type="spellStart"/>
            <w:r w:rsidRPr="00A744F2">
              <w:rPr>
                <w:rFonts w:ascii="Arial" w:hAnsi="Arial" w:cs="Arial"/>
                <w:sz w:val="20"/>
              </w:rPr>
              <w:t>DawgCheck</w:t>
            </w:r>
            <w:proofErr w:type="spellEnd"/>
            <w:r w:rsidRPr="00A744F2">
              <w:rPr>
                <w:rFonts w:ascii="Arial" w:hAnsi="Arial" w:cs="Arial"/>
                <w:sz w:val="20"/>
              </w:rPr>
              <w:t>, UGA Student Care and Outreach will follow up with you.</w:t>
            </w:r>
          </w:p>
          <w:p w14:paraId="71BD34C8" w14:textId="77777777" w:rsidR="00930662" w:rsidRDefault="00930662" w:rsidP="00930662">
            <w:pPr>
              <w:rPr>
                <w:rFonts w:ascii="Arial" w:hAnsi="Arial" w:cs="Arial"/>
                <w:sz w:val="20"/>
              </w:rPr>
            </w:pPr>
          </w:p>
          <w:p w14:paraId="5387E32A" w14:textId="76E95DB7" w:rsidR="00930662" w:rsidRDefault="00930662" w:rsidP="00930662">
            <w:pPr>
              <w:rPr>
                <w:rFonts w:ascii="Arial" w:hAnsi="Arial" w:cs="Arial"/>
                <w:b/>
                <w:sz w:val="20"/>
              </w:rPr>
            </w:pPr>
          </w:p>
        </w:tc>
      </w:tr>
      <w:tr w:rsidR="00930662" w14:paraId="30DCBDAB" w14:textId="77777777" w:rsidTr="00943ED6">
        <w:tc>
          <w:tcPr>
            <w:tcW w:w="10340" w:type="dxa"/>
            <w:gridSpan w:val="4"/>
            <w:shd w:val="clear" w:color="auto" w:fill="auto"/>
          </w:tcPr>
          <w:p w14:paraId="103DE090" w14:textId="412F13E4" w:rsidR="00930662" w:rsidRDefault="00930662" w:rsidP="00930662">
            <w:pPr>
              <w:jc w:val="center"/>
              <w:rPr>
                <w:rFonts w:ascii="Arial" w:hAnsi="Arial" w:cs="Arial"/>
                <w:b/>
                <w:sz w:val="20"/>
              </w:rPr>
            </w:pPr>
            <w:r>
              <w:rPr>
                <w:rFonts w:ascii="Arial" w:hAnsi="Arial" w:cs="Arial"/>
                <w:b/>
                <w:sz w:val="20"/>
              </w:rPr>
              <w:lastRenderedPageBreak/>
              <w:t>Syllabus as a Contract</w:t>
            </w:r>
          </w:p>
        </w:tc>
      </w:tr>
      <w:tr w:rsidR="00930662" w:rsidRPr="006C6BF2" w14:paraId="04FB348E" w14:textId="77777777" w:rsidTr="00943ED6">
        <w:tc>
          <w:tcPr>
            <w:tcW w:w="10340" w:type="dxa"/>
            <w:gridSpan w:val="4"/>
            <w:shd w:val="clear" w:color="auto" w:fill="auto"/>
          </w:tcPr>
          <w:p w14:paraId="1F651C4B" w14:textId="77777777" w:rsidR="00930662" w:rsidRPr="006C6BF2" w:rsidRDefault="00930662" w:rsidP="00930662">
            <w:pPr>
              <w:rPr>
                <w:rFonts w:ascii="Arial" w:hAnsi="Arial" w:cs="Arial"/>
                <w:sz w:val="20"/>
              </w:rPr>
            </w:pPr>
            <w:r>
              <w:rPr>
                <w:rFonts w:ascii="Arial" w:hAnsi="Arial" w:cs="Arial"/>
                <w:sz w:val="20"/>
              </w:rPr>
              <w:t>This syllabus is a contract between the professor and the individual student. Every student in this class receives an identical syllabus; therefore, every student in this class will be taught and evaluated in the same manner. This syllabus is unique to this class; therefore, the students in this class may not be taught and evaluated as students in other sections of this class, past or present, even if taught by the same professor.</w:t>
            </w:r>
          </w:p>
        </w:tc>
      </w:tr>
      <w:tr w:rsidR="00930662" w14:paraId="29B1385C" w14:textId="77777777" w:rsidTr="00943ED6">
        <w:tc>
          <w:tcPr>
            <w:tcW w:w="10340" w:type="dxa"/>
            <w:gridSpan w:val="4"/>
            <w:shd w:val="clear" w:color="auto" w:fill="auto"/>
          </w:tcPr>
          <w:p w14:paraId="341BCDC1" w14:textId="77777777" w:rsidR="00930662" w:rsidRDefault="00930662" w:rsidP="00930662">
            <w:pPr>
              <w:jc w:val="center"/>
              <w:rPr>
                <w:rFonts w:ascii="Arial" w:hAnsi="Arial" w:cs="Arial"/>
                <w:b/>
                <w:sz w:val="20"/>
              </w:rPr>
            </w:pPr>
          </w:p>
        </w:tc>
      </w:tr>
      <w:tr w:rsidR="00930662" w:rsidRPr="00B0295F" w14:paraId="4150B813" w14:textId="77777777" w:rsidTr="00943ED6">
        <w:tc>
          <w:tcPr>
            <w:tcW w:w="10340" w:type="dxa"/>
            <w:gridSpan w:val="4"/>
            <w:shd w:val="clear" w:color="auto" w:fill="auto"/>
          </w:tcPr>
          <w:p w14:paraId="0ECBF3B2" w14:textId="77777777" w:rsidR="00930662" w:rsidRPr="00B0295F" w:rsidRDefault="00930662" w:rsidP="00930662">
            <w:pPr>
              <w:jc w:val="center"/>
              <w:rPr>
                <w:rFonts w:ascii="Arial" w:hAnsi="Arial" w:cs="Arial"/>
                <w:b/>
                <w:sz w:val="20"/>
              </w:rPr>
            </w:pPr>
            <w:r>
              <w:rPr>
                <w:rFonts w:ascii="Arial" w:hAnsi="Arial" w:cs="Arial"/>
                <w:b/>
                <w:sz w:val="20"/>
              </w:rPr>
              <w:t>A Word of Thanks</w:t>
            </w:r>
          </w:p>
        </w:tc>
      </w:tr>
      <w:tr w:rsidR="00930662" w:rsidRPr="00B0295F" w14:paraId="16EA60A2" w14:textId="77777777" w:rsidTr="00943ED6">
        <w:tc>
          <w:tcPr>
            <w:tcW w:w="10340" w:type="dxa"/>
            <w:gridSpan w:val="4"/>
            <w:shd w:val="clear" w:color="auto" w:fill="auto"/>
          </w:tcPr>
          <w:p w14:paraId="50B28486" w14:textId="33C39D02" w:rsidR="00930662" w:rsidRDefault="00930662" w:rsidP="00930662">
            <w:pPr>
              <w:rPr>
                <w:rFonts w:ascii="Arial" w:hAnsi="Arial" w:cs="Arial"/>
                <w:sz w:val="20"/>
              </w:rPr>
            </w:pPr>
            <w:r>
              <w:rPr>
                <w:rFonts w:ascii="Arial" w:hAnsi="Arial" w:cs="Arial"/>
                <w:sz w:val="20"/>
              </w:rPr>
              <w:t xml:space="preserve">Teaching is a difficult task, and even the creation of a course syllabus is difficult. I appreciate the help of </w:t>
            </w:r>
            <w:proofErr w:type="gramStart"/>
            <w:r>
              <w:rPr>
                <w:rFonts w:ascii="Arial" w:hAnsi="Arial" w:cs="Arial"/>
                <w:sz w:val="20"/>
              </w:rPr>
              <w:t>all of</w:t>
            </w:r>
            <w:proofErr w:type="gramEnd"/>
            <w:r>
              <w:rPr>
                <w:rFonts w:ascii="Arial" w:hAnsi="Arial" w:cs="Arial"/>
                <w:sz w:val="20"/>
              </w:rPr>
              <w:t xml:space="preserve"> my colleagues who have helped me along the way: Joseph </w:t>
            </w:r>
            <w:proofErr w:type="spellStart"/>
            <w:r>
              <w:rPr>
                <w:rFonts w:ascii="Arial" w:hAnsi="Arial" w:cs="Arial"/>
                <w:sz w:val="20"/>
              </w:rPr>
              <w:t>Ura</w:t>
            </w:r>
            <w:proofErr w:type="spellEnd"/>
            <w:r>
              <w:rPr>
                <w:rFonts w:ascii="Arial" w:hAnsi="Arial" w:cs="Arial"/>
                <w:sz w:val="20"/>
              </w:rPr>
              <w:t>, John Robertson, Nicholas Conway, Todd Curry, Grier Stephenson, and Teena Wilhelm. I am also grateful to the students of previous courses whose feedback has helped me improve this syllabus.</w:t>
            </w:r>
          </w:p>
          <w:p w14:paraId="6B92D76D" w14:textId="77777777" w:rsidR="00930662" w:rsidRDefault="00930662" w:rsidP="00930662">
            <w:pPr>
              <w:rPr>
                <w:rFonts w:ascii="Arial" w:hAnsi="Arial" w:cs="Arial"/>
                <w:sz w:val="20"/>
              </w:rPr>
            </w:pPr>
          </w:p>
          <w:p w14:paraId="7B5F6D20" w14:textId="418326FD" w:rsidR="00930662" w:rsidRPr="00B0295F" w:rsidRDefault="00930662" w:rsidP="00930662">
            <w:pPr>
              <w:rPr>
                <w:rFonts w:ascii="Arial" w:hAnsi="Arial" w:cs="Arial"/>
                <w:sz w:val="20"/>
              </w:rPr>
            </w:pPr>
            <w:r>
              <w:rPr>
                <w:rFonts w:ascii="Arial" w:hAnsi="Arial" w:cs="Arial"/>
                <w:sz w:val="20"/>
              </w:rPr>
              <w:t>That being said, this syllabus and the course materials referenced in it is the intellectual property of the instructor and subject to copyright law. Do not reproduce any course materials without explicit written permission.</w:t>
            </w:r>
            <w:r w:rsidR="00B013FB">
              <w:rPr>
                <w:rFonts w:ascii="Arial" w:hAnsi="Arial" w:cs="Arial"/>
                <w:sz w:val="20"/>
              </w:rPr>
              <w:t xml:space="preserve"> This includes lecture material; all recordings are prohibited.</w:t>
            </w:r>
          </w:p>
        </w:tc>
      </w:tr>
      <w:tr w:rsidR="00930662" w:rsidRPr="00C2322F" w14:paraId="1F15F153" w14:textId="77777777" w:rsidTr="00D76428">
        <w:tc>
          <w:tcPr>
            <w:tcW w:w="10340" w:type="dxa"/>
            <w:gridSpan w:val="4"/>
            <w:shd w:val="clear" w:color="auto" w:fill="auto"/>
          </w:tcPr>
          <w:p w14:paraId="3889F201" w14:textId="77777777" w:rsidR="00930662" w:rsidRDefault="00930662" w:rsidP="00930662">
            <w:pPr>
              <w:jc w:val="center"/>
              <w:rPr>
                <w:rFonts w:ascii="Arial" w:hAnsi="Arial" w:cs="Arial"/>
                <w:b/>
                <w:sz w:val="20"/>
              </w:rPr>
            </w:pPr>
          </w:p>
        </w:tc>
      </w:tr>
    </w:tbl>
    <w:p w14:paraId="27D7B247" w14:textId="77777777" w:rsidR="00D6678E" w:rsidRDefault="00D6678E"/>
    <w:p w14:paraId="18DF1F51" w14:textId="77777777" w:rsidR="00D6678E" w:rsidRDefault="00D6678E">
      <w:r>
        <w:br w:type="page"/>
      </w:r>
    </w:p>
    <w:tbl>
      <w:tblPr>
        <w:tblW w:w="10340" w:type="dxa"/>
        <w:tblLayout w:type="fixed"/>
        <w:tblLook w:val="00A0" w:firstRow="1" w:lastRow="0" w:firstColumn="1" w:lastColumn="0" w:noHBand="0" w:noVBand="0"/>
      </w:tblPr>
      <w:tblGrid>
        <w:gridCol w:w="10340"/>
      </w:tblGrid>
      <w:tr w:rsidR="006339E2" w:rsidRPr="00C2322F" w14:paraId="7DEECB41" w14:textId="77777777" w:rsidTr="00D76428">
        <w:tc>
          <w:tcPr>
            <w:tcW w:w="10340" w:type="dxa"/>
            <w:shd w:val="clear" w:color="auto" w:fill="auto"/>
          </w:tcPr>
          <w:p w14:paraId="073D2AF7" w14:textId="77777777" w:rsidR="006339E2" w:rsidRDefault="006339E2" w:rsidP="006339E2">
            <w:pPr>
              <w:jc w:val="center"/>
              <w:rPr>
                <w:rFonts w:ascii="Arial" w:hAnsi="Arial" w:cs="Arial"/>
                <w:b/>
                <w:sz w:val="20"/>
              </w:rPr>
            </w:pPr>
            <w:r>
              <w:rPr>
                <w:rFonts w:ascii="Arial" w:hAnsi="Arial" w:cs="Arial"/>
                <w:b/>
                <w:sz w:val="20"/>
              </w:rPr>
              <w:lastRenderedPageBreak/>
              <w:t>Expected Course Calendar</w:t>
            </w:r>
          </w:p>
          <w:p w14:paraId="08A35B36" w14:textId="50A5F5C2" w:rsidR="006339E2" w:rsidRPr="00C2322F" w:rsidRDefault="006339E2" w:rsidP="006339E2">
            <w:pPr>
              <w:jc w:val="center"/>
              <w:rPr>
                <w:rFonts w:ascii="Arial" w:hAnsi="Arial" w:cs="Arial"/>
                <w:sz w:val="20"/>
              </w:rPr>
            </w:pPr>
            <w:r>
              <w:rPr>
                <w:rFonts w:ascii="Arial" w:hAnsi="Arial" w:cs="Arial"/>
                <w:bCs/>
                <w:sz w:val="20"/>
              </w:rPr>
              <w:t>Th</w:t>
            </w:r>
            <w:r w:rsidRPr="00FF46CD">
              <w:rPr>
                <w:rFonts w:ascii="Arial" w:hAnsi="Arial" w:cs="Arial"/>
                <w:bCs/>
                <w:sz w:val="20"/>
              </w:rPr>
              <w:t>e syllabus is a general plan for the course; deviations announced to the</w:t>
            </w:r>
            <w:r>
              <w:rPr>
                <w:rFonts w:ascii="Arial" w:hAnsi="Arial" w:cs="Arial"/>
                <w:bCs/>
                <w:sz w:val="20"/>
              </w:rPr>
              <w:t xml:space="preserve"> </w:t>
            </w:r>
            <w:r w:rsidRPr="00FF46CD">
              <w:rPr>
                <w:rFonts w:ascii="Arial" w:hAnsi="Arial" w:cs="Arial"/>
                <w:bCs/>
                <w:sz w:val="20"/>
              </w:rPr>
              <w:t>class by the instructor may be required</w:t>
            </w:r>
            <w:r>
              <w:rPr>
                <w:rFonts w:ascii="Arial" w:hAnsi="Arial" w:cs="Arial"/>
                <w:bCs/>
                <w:sz w:val="20"/>
              </w:rPr>
              <w:t>.</w:t>
            </w:r>
          </w:p>
        </w:tc>
      </w:tr>
      <w:tr w:rsidR="00B0295F" w:rsidRPr="00C2322F" w14:paraId="72D39B5D" w14:textId="77777777" w:rsidTr="00D76428">
        <w:tc>
          <w:tcPr>
            <w:tcW w:w="10340" w:type="dxa"/>
            <w:shd w:val="clear" w:color="auto" w:fill="auto"/>
          </w:tcPr>
          <w:p w14:paraId="4CF875FF" w14:textId="77777777" w:rsidR="00B0295F" w:rsidRPr="00C2322F" w:rsidRDefault="00B0295F" w:rsidP="00884395">
            <w:pPr>
              <w:rPr>
                <w:rFonts w:ascii="Arial" w:hAnsi="Arial" w:cs="Arial"/>
                <w:sz w:val="20"/>
              </w:rPr>
            </w:pPr>
          </w:p>
        </w:tc>
      </w:tr>
      <w:tr w:rsidR="00884395" w:rsidRPr="00C2322F" w14:paraId="40DC6440" w14:textId="77777777" w:rsidTr="00D76428">
        <w:tc>
          <w:tcPr>
            <w:tcW w:w="10340" w:type="dxa"/>
            <w:shd w:val="clear" w:color="auto" w:fill="auto"/>
          </w:tcPr>
          <w:p w14:paraId="3AFC35EC" w14:textId="196DD44B" w:rsidR="00B0295F" w:rsidRPr="00A16AB6" w:rsidRDefault="00B0295F" w:rsidP="00B0295F">
            <w:pPr>
              <w:rPr>
                <w:rFonts w:ascii="Arial" w:hAnsi="Arial" w:cs="Arial"/>
                <w:b/>
                <w:sz w:val="20"/>
              </w:rPr>
            </w:pPr>
            <w:r w:rsidRPr="00A16AB6">
              <w:rPr>
                <w:rFonts w:ascii="Arial" w:hAnsi="Arial" w:cs="Arial"/>
                <w:b/>
                <w:sz w:val="20"/>
              </w:rPr>
              <w:t>Week 1:</w:t>
            </w:r>
            <w:r>
              <w:rPr>
                <w:rFonts w:ascii="Arial" w:hAnsi="Arial" w:cs="Arial"/>
                <w:b/>
                <w:sz w:val="20"/>
              </w:rPr>
              <w:t xml:space="preserve"> Basics of Constitutional Law</w:t>
            </w:r>
            <w:r w:rsidR="002F51A2">
              <w:rPr>
                <w:rFonts w:ascii="Arial" w:hAnsi="Arial" w:cs="Arial"/>
                <w:b/>
                <w:sz w:val="20"/>
              </w:rPr>
              <w:t xml:space="preserve"> – Chapter 1</w:t>
            </w:r>
          </w:p>
          <w:p w14:paraId="30E37D7E" w14:textId="21FBF214" w:rsidR="005565CB" w:rsidRPr="00A16AB6" w:rsidRDefault="00B0295F" w:rsidP="005565CB">
            <w:pPr>
              <w:rPr>
                <w:rFonts w:ascii="Arial" w:hAnsi="Arial" w:cs="Arial"/>
                <w:b/>
                <w:sz w:val="20"/>
              </w:rPr>
            </w:pPr>
            <w:r>
              <w:rPr>
                <w:rFonts w:ascii="Arial" w:hAnsi="Arial" w:cs="Arial"/>
                <w:sz w:val="20"/>
              </w:rPr>
              <w:br/>
            </w:r>
            <w:r w:rsidR="005565CB" w:rsidRPr="00A16AB6">
              <w:rPr>
                <w:rFonts w:ascii="Arial" w:hAnsi="Arial" w:cs="Arial"/>
                <w:b/>
                <w:sz w:val="20"/>
              </w:rPr>
              <w:t xml:space="preserve">Week 2: Judicial Review and </w:t>
            </w:r>
            <w:proofErr w:type="spellStart"/>
            <w:r w:rsidR="002457B1">
              <w:rPr>
                <w:rFonts w:ascii="Arial" w:hAnsi="Arial" w:cs="Arial"/>
                <w:b/>
                <w:sz w:val="20"/>
              </w:rPr>
              <w:t>Justicability</w:t>
            </w:r>
            <w:proofErr w:type="spellEnd"/>
            <w:r w:rsidR="002F51A2">
              <w:rPr>
                <w:rFonts w:ascii="Arial" w:hAnsi="Arial" w:cs="Arial"/>
                <w:b/>
                <w:sz w:val="20"/>
              </w:rPr>
              <w:t xml:space="preserve"> – Chapter 2</w:t>
            </w:r>
            <w:r w:rsidR="0021589C">
              <w:rPr>
                <w:rFonts w:ascii="Arial" w:hAnsi="Arial" w:cs="Arial"/>
                <w:b/>
                <w:sz w:val="20"/>
              </w:rPr>
              <w:t xml:space="preserve"> (7)</w:t>
            </w:r>
          </w:p>
          <w:p w14:paraId="40541ABF" w14:textId="01980137" w:rsidR="005565CB" w:rsidRDefault="005565CB" w:rsidP="005565CB">
            <w:pPr>
              <w:rPr>
                <w:rFonts w:ascii="Arial" w:hAnsi="Arial" w:cs="Arial"/>
                <w:i/>
                <w:sz w:val="20"/>
              </w:rPr>
            </w:pPr>
            <w:r>
              <w:rPr>
                <w:rFonts w:ascii="Arial" w:hAnsi="Arial" w:cs="Arial"/>
                <w:sz w:val="20"/>
              </w:rPr>
              <w:t xml:space="preserve">Cases: </w:t>
            </w:r>
            <w:r w:rsidR="002457B1" w:rsidRPr="002457B1">
              <w:rPr>
                <w:rFonts w:ascii="Arial" w:hAnsi="Arial" w:cs="Arial"/>
                <w:i/>
                <w:sz w:val="20"/>
              </w:rPr>
              <w:t xml:space="preserve">Marbury v Madison; Martin v Hunter’s Lessee; </w:t>
            </w:r>
            <w:proofErr w:type="spellStart"/>
            <w:r w:rsidR="00A73377">
              <w:rPr>
                <w:rFonts w:ascii="Arial" w:hAnsi="Arial" w:cs="Arial"/>
                <w:i/>
                <w:sz w:val="20"/>
              </w:rPr>
              <w:t>Flast</w:t>
            </w:r>
            <w:proofErr w:type="spellEnd"/>
            <w:r w:rsidR="00A73377">
              <w:rPr>
                <w:rFonts w:ascii="Arial" w:hAnsi="Arial" w:cs="Arial"/>
                <w:i/>
                <w:sz w:val="20"/>
              </w:rPr>
              <w:t xml:space="preserve"> v. Cohen</w:t>
            </w:r>
            <w:r w:rsidR="002457B1" w:rsidRPr="002457B1">
              <w:rPr>
                <w:rFonts w:ascii="Arial" w:hAnsi="Arial" w:cs="Arial"/>
                <w:i/>
                <w:sz w:val="20"/>
              </w:rPr>
              <w:t xml:space="preserve">; Baker v. </w:t>
            </w:r>
            <w:proofErr w:type="spellStart"/>
            <w:r w:rsidR="002457B1" w:rsidRPr="002457B1">
              <w:rPr>
                <w:rFonts w:ascii="Arial" w:hAnsi="Arial" w:cs="Arial"/>
                <w:i/>
                <w:sz w:val="20"/>
              </w:rPr>
              <w:t>Carr</w:t>
            </w:r>
            <w:proofErr w:type="spellEnd"/>
            <w:r w:rsidR="002457B1" w:rsidRPr="002457B1">
              <w:rPr>
                <w:rFonts w:ascii="Arial" w:hAnsi="Arial" w:cs="Arial"/>
                <w:i/>
                <w:sz w:val="20"/>
              </w:rPr>
              <w:t xml:space="preserve">; </w:t>
            </w:r>
            <w:proofErr w:type="spellStart"/>
            <w:r w:rsidR="002457B1" w:rsidRPr="002457B1">
              <w:rPr>
                <w:rFonts w:ascii="Arial" w:hAnsi="Arial" w:cs="Arial"/>
                <w:i/>
                <w:sz w:val="20"/>
              </w:rPr>
              <w:t>DeFunis</w:t>
            </w:r>
            <w:proofErr w:type="spellEnd"/>
            <w:r w:rsidR="002457B1" w:rsidRPr="002457B1">
              <w:rPr>
                <w:rFonts w:ascii="Arial" w:hAnsi="Arial" w:cs="Arial"/>
                <w:i/>
                <w:sz w:val="20"/>
              </w:rPr>
              <w:t xml:space="preserve"> v. </w:t>
            </w:r>
            <w:proofErr w:type="spellStart"/>
            <w:r w:rsidR="002457B1" w:rsidRPr="002457B1">
              <w:rPr>
                <w:rFonts w:ascii="Arial" w:hAnsi="Arial" w:cs="Arial"/>
                <w:i/>
                <w:sz w:val="20"/>
              </w:rPr>
              <w:t>Odegaard</w:t>
            </w:r>
            <w:proofErr w:type="spellEnd"/>
            <w:r w:rsidR="00D618E4">
              <w:rPr>
                <w:rFonts w:ascii="Arial" w:hAnsi="Arial" w:cs="Arial"/>
                <w:i/>
                <w:sz w:val="20"/>
              </w:rPr>
              <w:t xml:space="preserve">; </w:t>
            </w:r>
            <w:bookmarkStart w:id="0" w:name="OLE_LINK1"/>
            <w:r w:rsidR="00D618E4" w:rsidRPr="002457B1">
              <w:rPr>
                <w:rFonts w:ascii="Arial" w:hAnsi="Arial" w:cs="Arial"/>
                <w:i/>
                <w:sz w:val="20"/>
              </w:rPr>
              <w:t xml:space="preserve">Ex </w:t>
            </w:r>
            <w:proofErr w:type="spellStart"/>
            <w:r w:rsidR="00D618E4" w:rsidRPr="002457B1">
              <w:rPr>
                <w:rFonts w:ascii="Arial" w:hAnsi="Arial" w:cs="Arial"/>
                <w:i/>
                <w:sz w:val="20"/>
              </w:rPr>
              <w:t>Parte</w:t>
            </w:r>
            <w:proofErr w:type="spellEnd"/>
            <w:r w:rsidR="00D618E4" w:rsidRPr="002457B1">
              <w:rPr>
                <w:rFonts w:ascii="Arial" w:hAnsi="Arial" w:cs="Arial"/>
                <w:i/>
                <w:sz w:val="20"/>
              </w:rPr>
              <w:t xml:space="preserve"> McCardle; Murdock v. City of Memphis</w:t>
            </w:r>
          </w:p>
          <w:p w14:paraId="6C0832BC" w14:textId="77777777" w:rsidR="002457B1" w:rsidRDefault="002457B1" w:rsidP="005565CB">
            <w:pPr>
              <w:rPr>
                <w:rFonts w:ascii="Arial" w:hAnsi="Arial" w:cs="Arial"/>
                <w:sz w:val="20"/>
              </w:rPr>
            </w:pPr>
          </w:p>
          <w:p w14:paraId="7592F410" w14:textId="393DBA8E" w:rsidR="005565CB" w:rsidRDefault="005565CB" w:rsidP="005565CB">
            <w:pPr>
              <w:rPr>
                <w:rFonts w:ascii="Arial" w:hAnsi="Arial" w:cs="Arial"/>
                <w:b/>
                <w:sz w:val="20"/>
              </w:rPr>
            </w:pPr>
            <w:r>
              <w:rPr>
                <w:rFonts w:ascii="Arial" w:hAnsi="Arial" w:cs="Arial"/>
                <w:b/>
                <w:sz w:val="20"/>
              </w:rPr>
              <w:t>Week 3</w:t>
            </w:r>
            <w:r w:rsidRPr="00CB762A">
              <w:rPr>
                <w:rFonts w:ascii="Arial" w:hAnsi="Arial" w:cs="Arial"/>
                <w:b/>
                <w:sz w:val="20"/>
              </w:rPr>
              <w:t>:</w:t>
            </w:r>
            <w:r>
              <w:rPr>
                <w:rFonts w:ascii="Arial" w:hAnsi="Arial" w:cs="Arial"/>
                <w:b/>
                <w:sz w:val="20"/>
              </w:rPr>
              <w:t xml:space="preserve"> </w:t>
            </w:r>
            <w:r w:rsidR="002457B1">
              <w:rPr>
                <w:rFonts w:ascii="Arial" w:hAnsi="Arial" w:cs="Arial"/>
                <w:b/>
                <w:sz w:val="20"/>
              </w:rPr>
              <w:t>Legislative Powers</w:t>
            </w:r>
            <w:r w:rsidR="002F51A2">
              <w:rPr>
                <w:rFonts w:ascii="Arial" w:hAnsi="Arial" w:cs="Arial"/>
                <w:b/>
                <w:sz w:val="20"/>
              </w:rPr>
              <w:t xml:space="preserve"> – Chapter 3</w:t>
            </w:r>
            <w:r w:rsidR="0021589C">
              <w:rPr>
                <w:rFonts w:ascii="Arial" w:hAnsi="Arial" w:cs="Arial"/>
                <w:b/>
                <w:sz w:val="20"/>
              </w:rPr>
              <w:t xml:space="preserve"> (6)</w:t>
            </w:r>
          </w:p>
          <w:p w14:paraId="21AA127C" w14:textId="6BF4EE98" w:rsidR="005565CB" w:rsidRPr="00CB762A" w:rsidRDefault="005565CB" w:rsidP="005565CB">
            <w:pPr>
              <w:rPr>
                <w:rFonts w:ascii="Arial" w:hAnsi="Arial" w:cs="Arial"/>
                <w:sz w:val="20"/>
              </w:rPr>
            </w:pPr>
            <w:r>
              <w:rPr>
                <w:rFonts w:ascii="Arial" w:hAnsi="Arial" w:cs="Arial"/>
                <w:sz w:val="20"/>
              </w:rPr>
              <w:t xml:space="preserve">Cases: </w:t>
            </w:r>
            <w:r w:rsidR="002457B1" w:rsidRPr="002457B1">
              <w:rPr>
                <w:rFonts w:ascii="Arial" w:hAnsi="Arial" w:cs="Arial"/>
                <w:i/>
                <w:sz w:val="20"/>
              </w:rPr>
              <w:t>Powell v. McCormack; U.S. Term Limits, Inc. v. Thornton; Gravel v. United States; McCulloch v. Maryland; McGrain v. Daugherty; Watkins v. United States</w:t>
            </w:r>
          </w:p>
          <w:p w14:paraId="1493DE84" w14:textId="77777777" w:rsidR="005565CB" w:rsidRDefault="005565CB" w:rsidP="005565CB">
            <w:pPr>
              <w:rPr>
                <w:rFonts w:ascii="Arial" w:hAnsi="Arial" w:cs="Arial"/>
                <w:sz w:val="20"/>
              </w:rPr>
            </w:pPr>
          </w:p>
          <w:p w14:paraId="07CC1BAA" w14:textId="1E4A0E14" w:rsidR="005565CB" w:rsidRDefault="005565CB" w:rsidP="005565CB">
            <w:pPr>
              <w:rPr>
                <w:rFonts w:ascii="Arial" w:hAnsi="Arial" w:cs="Arial"/>
                <w:b/>
                <w:sz w:val="20"/>
              </w:rPr>
            </w:pPr>
            <w:r>
              <w:rPr>
                <w:rFonts w:ascii="Arial" w:hAnsi="Arial" w:cs="Arial"/>
                <w:b/>
                <w:sz w:val="20"/>
              </w:rPr>
              <w:t>Week 4</w:t>
            </w:r>
            <w:r w:rsidRPr="00CB762A">
              <w:rPr>
                <w:rFonts w:ascii="Arial" w:hAnsi="Arial" w:cs="Arial"/>
                <w:b/>
                <w:sz w:val="20"/>
              </w:rPr>
              <w:t>:</w:t>
            </w:r>
            <w:r>
              <w:rPr>
                <w:rFonts w:ascii="Arial" w:hAnsi="Arial" w:cs="Arial"/>
                <w:b/>
                <w:sz w:val="20"/>
              </w:rPr>
              <w:t xml:space="preserve"> </w:t>
            </w:r>
            <w:r w:rsidR="002457B1">
              <w:rPr>
                <w:rFonts w:ascii="Arial" w:hAnsi="Arial" w:cs="Arial"/>
                <w:b/>
                <w:sz w:val="20"/>
              </w:rPr>
              <w:t>Executive Powers</w:t>
            </w:r>
            <w:r w:rsidR="002F51A2">
              <w:rPr>
                <w:rFonts w:ascii="Arial" w:hAnsi="Arial" w:cs="Arial"/>
                <w:b/>
                <w:sz w:val="20"/>
              </w:rPr>
              <w:t xml:space="preserve"> – Chapter 4</w:t>
            </w:r>
            <w:r w:rsidR="0021589C">
              <w:rPr>
                <w:rFonts w:ascii="Arial" w:hAnsi="Arial" w:cs="Arial"/>
                <w:b/>
                <w:sz w:val="20"/>
              </w:rPr>
              <w:t xml:space="preserve"> (7)</w:t>
            </w:r>
          </w:p>
          <w:p w14:paraId="5DE5900B" w14:textId="4EC1C186" w:rsidR="005565CB" w:rsidRDefault="005565CB" w:rsidP="005565CB">
            <w:pPr>
              <w:rPr>
                <w:rFonts w:ascii="Arial" w:hAnsi="Arial" w:cs="Arial"/>
                <w:i/>
                <w:sz w:val="20"/>
              </w:rPr>
            </w:pPr>
            <w:r>
              <w:rPr>
                <w:rFonts w:ascii="Arial" w:hAnsi="Arial" w:cs="Arial"/>
                <w:sz w:val="20"/>
              </w:rPr>
              <w:t xml:space="preserve">Cases: </w:t>
            </w:r>
            <w:r w:rsidR="002457B1" w:rsidRPr="002457B1">
              <w:rPr>
                <w:rFonts w:ascii="Arial" w:hAnsi="Arial" w:cs="Arial"/>
                <w:i/>
                <w:sz w:val="20"/>
              </w:rPr>
              <w:t xml:space="preserve">Bush v. Gore; In Re </w:t>
            </w:r>
            <w:proofErr w:type="spellStart"/>
            <w:r w:rsidR="002457B1" w:rsidRPr="002457B1">
              <w:rPr>
                <w:rFonts w:ascii="Arial" w:hAnsi="Arial" w:cs="Arial"/>
                <w:i/>
                <w:sz w:val="20"/>
              </w:rPr>
              <w:t>Neagle</w:t>
            </w:r>
            <w:proofErr w:type="spellEnd"/>
            <w:r w:rsidR="002457B1" w:rsidRPr="002457B1">
              <w:rPr>
                <w:rFonts w:ascii="Arial" w:hAnsi="Arial" w:cs="Arial"/>
                <w:i/>
                <w:sz w:val="20"/>
              </w:rPr>
              <w:t>; Mississippi v. Johnson; Nixon v. Fitzgerald; Clinton v. Jones; U.S. v Reynolds; U.S. v. Nixon</w:t>
            </w:r>
          </w:p>
          <w:bookmarkEnd w:id="0"/>
          <w:p w14:paraId="7A2A0A77" w14:textId="77777777" w:rsidR="002457B1" w:rsidRDefault="002457B1" w:rsidP="005565CB">
            <w:pPr>
              <w:rPr>
                <w:rFonts w:ascii="Arial" w:hAnsi="Arial" w:cs="Arial"/>
                <w:sz w:val="20"/>
              </w:rPr>
            </w:pPr>
          </w:p>
          <w:p w14:paraId="4AD3E018" w14:textId="2CF6F7BD" w:rsidR="005565CB" w:rsidRDefault="005565CB" w:rsidP="005565CB">
            <w:pPr>
              <w:rPr>
                <w:rFonts w:ascii="Arial" w:hAnsi="Arial" w:cs="Arial"/>
                <w:b/>
                <w:sz w:val="20"/>
              </w:rPr>
            </w:pPr>
            <w:r w:rsidRPr="00CB762A">
              <w:rPr>
                <w:rFonts w:ascii="Arial" w:hAnsi="Arial" w:cs="Arial"/>
                <w:b/>
                <w:sz w:val="20"/>
              </w:rPr>
              <w:t>Week</w:t>
            </w:r>
            <w:r>
              <w:rPr>
                <w:rFonts w:ascii="Arial" w:hAnsi="Arial" w:cs="Arial"/>
                <w:b/>
                <w:sz w:val="20"/>
              </w:rPr>
              <w:t xml:space="preserve"> </w:t>
            </w:r>
            <w:r w:rsidR="00BD0806">
              <w:rPr>
                <w:rFonts w:ascii="Arial" w:hAnsi="Arial" w:cs="Arial"/>
                <w:b/>
                <w:sz w:val="20"/>
              </w:rPr>
              <w:t>5</w:t>
            </w:r>
            <w:r w:rsidRPr="00CB762A">
              <w:rPr>
                <w:rFonts w:ascii="Arial" w:hAnsi="Arial" w:cs="Arial"/>
                <w:b/>
                <w:sz w:val="20"/>
              </w:rPr>
              <w:t xml:space="preserve">: </w:t>
            </w:r>
            <w:r w:rsidR="002457B1">
              <w:rPr>
                <w:rFonts w:ascii="Arial" w:hAnsi="Arial" w:cs="Arial"/>
                <w:b/>
                <w:sz w:val="20"/>
              </w:rPr>
              <w:t>Separation of Powers</w:t>
            </w:r>
            <w:r w:rsidR="002F51A2">
              <w:rPr>
                <w:rFonts w:ascii="Arial" w:hAnsi="Arial" w:cs="Arial"/>
                <w:b/>
                <w:sz w:val="20"/>
              </w:rPr>
              <w:t xml:space="preserve"> – Chapter 5</w:t>
            </w:r>
            <w:r w:rsidR="0021589C">
              <w:rPr>
                <w:rFonts w:ascii="Arial" w:hAnsi="Arial" w:cs="Arial"/>
                <w:b/>
                <w:sz w:val="20"/>
              </w:rPr>
              <w:t xml:space="preserve"> (8)</w:t>
            </w:r>
          </w:p>
          <w:p w14:paraId="2EED7C2C" w14:textId="27CAC08C" w:rsidR="005565CB" w:rsidRDefault="005565CB" w:rsidP="005565CB">
            <w:pPr>
              <w:rPr>
                <w:rFonts w:ascii="Arial" w:hAnsi="Arial" w:cs="Arial"/>
                <w:i/>
                <w:sz w:val="20"/>
              </w:rPr>
            </w:pPr>
            <w:r>
              <w:rPr>
                <w:rFonts w:ascii="Arial" w:hAnsi="Arial" w:cs="Arial"/>
                <w:sz w:val="20"/>
              </w:rPr>
              <w:t xml:space="preserve">Cases: </w:t>
            </w:r>
            <w:r w:rsidR="002457B1" w:rsidRPr="002457B1">
              <w:rPr>
                <w:rFonts w:ascii="Arial" w:hAnsi="Arial" w:cs="Arial"/>
                <w:i/>
                <w:sz w:val="20"/>
              </w:rPr>
              <w:t xml:space="preserve">Myers v. United States; Humphrey’s Executor v. United States; Morrison v Olson; A.L.A. Schechter Poultry Corp. v. United States; </w:t>
            </w:r>
            <w:proofErr w:type="spellStart"/>
            <w:r w:rsidR="002457B1" w:rsidRPr="002457B1">
              <w:rPr>
                <w:rFonts w:ascii="Arial" w:hAnsi="Arial" w:cs="Arial"/>
                <w:i/>
                <w:sz w:val="20"/>
              </w:rPr>
              <w:t>Mistretta</w:t>
            </w:r>
            <w:proofErr w:type="spellEnd"/>
            <w:r w:rsidR="002457B1" w:rsidRPr="002457B1">
              <w:rPr>
                <w:rFonts w:ascii="Arial" w:hAnsi="Arial" w:cs="Arial"/>
                <w:i/>
                <w:sz w:val="20"/>
              </w:rPr>
              <w:t xml:space="preserve"> v. United States; INS v. Chadha;</w:t>
            </w:r>
            <w:r w:rsidR="000D099A" w:rsidRPr="002457B1">
              <w:rPr>
                <w:rFonts w:ascii="Arial" w:hAnsi="Arial" w:cs="Arial"/>
                <w:i/>
                <w:sz w:val="20"/>
              </w:rPr>
              <w:t xml:space="preserve"> Bowsher v. </w:t>
            </w:r>
            <w:proofErr w:type="spellStart"/>
            <w:r w:rsidR="000D099A" w:rsidRPr="002457B1">
              <w:rPr>
                <w:rFonts w:ascii="Arial" w:hAnsi="Arial" w:cs="Arial"/>
                <w:i/>
                <w:sz w:val="20"/>
              </w:rPr>
              <w:t>Synar</w:t>
            </w:r>
            <w:proofErr w:type="spellEnd"/>
            <w:r w:rsidR="000D099A">
              <w:rPr>
                <w:rFonts w:ascii="Arial" w:hAnsi="Arial" w:cs="Arial"/>
                <w:i/>
                <w:sz w:val="20"/>
              </w:rPr>
              <w:t>;</w:t>
            </w:r>
            <w:r w:rsidR="002457B1" w:rsidRPr="002457B1">
              <w:rPr>
                <w:rFonts w:ascii="Arial" w:hAnsi="Arial" w:cs="Arial"/>
                <w:i/>
                <w:sz w:val="20"/>
              </w:rPr>
              <w:t xml:space="preserve"> </w:t>
            </w:r>
            <w:r w:rsidR="000D099A" w:rsidRPr="002457B1">
              <w:rPr>
                <w:rFonts w:ascii="Arial" w:hAnsi="Arial" w:cs="Arial"/>
                <w:i/>
                <w:sz w:val="20"/>
              </w:rPr>
              <w:t>Clinton v. City of New York</w:t>
            </w:r>
          </w:p>
          <w:p w14:paraId="5219A514" w14:textId="77777777" w:rsidR="002457B1" w:rsidRDefault="002457B1" w:rsidP="005565CB">
            <w:pPr>
              <w:rPr>
                <w:rFonts w:ascii="Arial" w:hAnsi="Arial" w:cs="Arial"/>
                <w:sz w:val="20"/>
              </w:rPr>
            </w:pPr>
          </w:p>
          <w:p w14:paraId="67C176C7" w14:textId="5DBAFDE9" w:rsidR="005565CB" w:rsidRPr="008351FE" w:rsidRDefault="005565CB" w:rsidP="005565CB">
            <w:pPr>
              <w:rPr>
                <w:rFonts w:ascii="Arial" w:hAnsi="Arial" w:cs="Arial"/>
                <w:b/>
                <w:sz w:val="20"/>
              </w:rPr>
            </w:pPr>
            <w:r>
              <w:rPr>
                <w:rFonts w:ascii="Arial" w:hAnsi="Arial" w:cs="Arial"/>
                <w:b/>
                <w:sz w:val="20"/>
              </w:rPr>
              <w:t xml:space="preserve">Week </w:t>
            </w:r>
            <w:r w:rsidR="00BD0806">
              <w:rPr>
                <w:rFonts w:ascii="Arial" w:hAnsi="Arial" w:cs="Arial"/>
                <w:b/>
                <w:sz w:val="20"/>
              </w:rPr>
              <w:t>6</w:t>
            </w:r>
            <w:r w:rsidRPr="008351FE">
              <w:rPr>
                <w:rFonts w:ascii="Arial" w:hAnsi="Arial" w:cs="Arial"/>
                <w:b/>
                <w:sz w:val="20"/>
              </w:rPr>
              <w:t xml:space="preserve">: </w:t>
            </w:r>
            <w:r w:rsidR="002457B1">
              <w:rPr>
                <w:rFonts w:ascii="Arial" w:hAnsi="Arial" w:cs="Arial"/>
                <w:b/>
                <w:sz w:val="20"/>
              </w:rPr>
              <w:t>State Powers</w:t>
            </w:r>
            <w:r w:rsidR="002F51A2">
              <w:rPr>
                <w:rFonts w:ascii="Arial" w:hAnsi="Arial" w:cs="Arial"/>
                <w:b/>
                <w:sz w:val="20"/>
              </w:rPr>
              <w:t xml:space="preserve"> – Chapter 6</w:t>
            </w:r>
            <w:r w:rsidR="0021589C">
              <w:rPr>
                <w:rFonts w:ascii="Arial" w:hAnsi="Arial" w:cs="Arial"/>
                <w:b/>
                <w:sz w:val="20"/>
              </w:rPr>
              <w:t xml:space="preserve"> (7)</w:t>
            </w:r>
          </w:p>
          <w:p w14:paraId="79197CDE" w14:textId="135594E2" w:rsidR="00BE77BB" w:rsidRDefault="005565CB" w:rsidP="005565CB">
            <w:pPr>
              <w:rPr>
                <w:rFonts w:ascii="Arial" w:hAnsi="Arial" w:cs="Arial"/>
                <w:i/>
                <w:sz w:val="20"/>
              </w:rPr>
            </w:pPr>
            <w:r>
              <w:rPr>
                <w:rFonts w:ascii="Arial" w:hAnsi="Arial" w:cs="Arial"/>
                <w:sz w:val="20"/>
              </w:rPr>
              <w:t xml:space="preserve">Cases: </w:t>
            </w:r>
            <w:r w:rsidR="002457B1" w:rsidRPr="002457B1">
              <w:rPr>
                <w:rFonts w:ascii="Arial" w:hAnsi="Arial" w:cs="Arial"/>
                <w:i/>
                <w:sz w:val="20"/>
              </w:rPr>
              <w:t>State of Missouri v. Holland; Crosby v. National Foreign Trade Council; Arizona v. United States; New York v. U.S.; Printz v. U.S.; Jacobson v. Massachusetts; Barnes v. Glen Theater</w:t>
            </w:r>
          </w:p>
          <w:p w14:paraId="553D4B89" w14:textId="77777777" w:rsidR="002457B1" w:rsidRDefault="002457B1" w:rsidP="005565CB">
            <w:pPr>
              <w:rPr>
                <w:rFonts w:ascii="Arial" w:hAnsi="Arial" w:cs="Arial"/>
                <w:i/>
                <w:sz w:val="20"/>
              </w:rPr>
            </w:pPr>
          </w:p>
          <w:p w14:paraId="602E1AD8" w14:textId="20E1F2D5" w:rsidR="00754925" w:rsidRPr="00754925" w:rsidRDefault="00754925" w:rsidP="005565CB">
            <w:pPr>
              <w:rPr>
                <w:rFonts w:ascii="Arial" w:hAnsi="Arial" w:cs="Arial"/>
                <w:b/>
                <w:bCs/>
                <w:iCs/>
                <w:sz w:val="20"/>
              </w:rPr>
            </w:pPr>
            <w:r>
              <w:rPr>
                <w:rFonts w:ascii="Arial" w:hAnsi="Arial" w:cs="Arial"/>
                <w:b/>
                <w:bCs/>
                <w:iCs/>
                <w:sz w:val="20"/>
              </w:rPr>
              <w:t>Wee</w:t>
            </w:r>
            <w:r w:rsidR="002457B1">
              <w:rPr>
                <w:rFonts w:ascii="Arial" w:hAnsi="Arial" w:cs="Arial"/>
                <w:b/>
                <w:bCs/>
                <w:iCs/>
                <w:sz w:val="20"/>
              </w:rPr>
              <w:t>ks 7 and 8</w:t>
            </w:r>
            <w:r>
              <w:rPr>
                <w:rFonts w:ascii="Arial" w:hAnsi="Arial" w:cs="Arial"/>
                <w:b/>
                <w:bCs/>
                <w:iCs/>
                <w:sz w:val="20"/>
              </w:rPr>
              <w:t xml:space="preserve">: </w:t>
            </w:r>
            <w:r w:rsidR="002457B1">
              <w:rPr>
                <w:rFonts w:ascii="Arial" w:hAnsi="Arial" w:cs="Arial"/>
                <w:b/>
                <w:bCs/>
                <w:iCs/>
                <w:sz w:val="20"/>
              </w:rPr>
              <w:t>Commerce Clause</w:t>
            </w:r>
            <w:r w:rsidR="002F51A2">
              <w:rPr>
                <w:rFonts w:ascii="Arial" w:hAnsi="Arial" w:cs="Arial"/>
                <w:b/>
                <w:bCs/>
                <w:iCs/>
                <w:sz w:val="20"/>
              </w:rPr>
              <w:t xml:space="preserve"> – Chapter 7</w:t>
            </w:r>
            <w:r w:rsidR="0021589C">
              <w:rPr>
                <w:rFonts w:ascii="Arial" w:hAnsi="Arial" w:cs="Arial"/>
                <w:b/>
                <w:bCs/>
                <w:iCs/>
                <w:sz w:val="20"/>
              </w:rPr>
              <w:t xml:space="preserve"> (16)</w:t>
            </w:r>
          </w:p>
          <w:p w14:paraId="2BBCD847" w14:textId="0E931A2A" w:rsidR="005565CB" w:rsidRDefault="00891D43" w:rsidP="005565CB">
            <w:pPr>
              <w:rPr>
                <w:rFonts w:ascii="Arial" w:hAnsi="Arial" w:cs="Arial"/>
                <w:i/>
                <w:sz w:val="20"/>
              </w:rPr>
            </w:pPr>
            <w:r>
              <w:rPr>
                <w:rFonts w:ascii="Arial" w:hAnsi="Arial" w:cs="Arial"/>
                <w:iCs/>
                <w:sz w:val="20"/>
              </w:rPr>
              <w:t xml:space="preserve">Cases: </w:t>
            </w:r>
            <w:r w:rsidR="002457B1" w:rsidRPr="002457B1">
              <w:rPr>
                <w:rFonts w:ascii="Arial" w:hAnsi="Arial" w:cs="Arial"/>
                <w:i/>
                <w:sz w:val="20"/>
              </w:rPr>
              <w:t>Gibbons v. Ogden; United States v. E.C. Knight Co.; Hammer v. Dagenhart; Munn v. Illinois; Wabash, St. Louis &amp; Pacific Railway Co. v. Illinois; Carter v Carter Coal Company; National Labor Relations Board v. Jones &amp; Laughlin Steel Corporation; United States v. Darby Lumber; Wickard v. Filburn; Heart of Atlanta Motel, Inc.; United States v. Lopez; United States v. Morrison; Gonzales v. Raich; Cooley v. Board of Wardens; Southern Pacific Company v. Arizona; Granholm v. Heald</w:t>
            </w:r>
          </w:p>
          <w:p w14:paraId="1C10FBF2" w14:textId="77777777" w:rsidR="00985571" w:rsidRDefault="00985571" w:rsidP="004556FE">
            <w:pPr>
              <w:rPr>
                <w:rFonts w:ascii="Arial" w:hAnsi="Arial" w:cs="Arial"/>
                <w:b/>
                <w:sz w:val="20"/>
              </w:rPr>
            </w:pPr>
          </w:p>
          <w:p w14:paraId="7BF71331" w14:textId="60208667" w:rsidR="004556FE" w:rsidRDefault="004556FE" w:rsidP="004556FE">
            <w:pPr>
              <w:rPr>
                <w:rFonts w:ascii="Arial" w:hAnsi="Arial" w:cs="Arial"/>
                <w:b/>
                <w:sz w:val="20"/>
              </w:rPr>
            </w:pPr>
            <w:r>
              <w:rPr>
                <w:rFonts w:ascii="Arial" w:hAnsi="Arial" w:cs="Arial"/>
                <w:b/>
                <w:sz w:val="20"/>
              </w:rPr>
              <w:t xml:space="preserve">Week </w:t>
            </w:r>
            <w:r w:rsidR="002457B1">
              <w:rPr>
                <w:rFonts w:ascii="Arial" w:hAnsi="Arial" w:cs="Arial"/>
                <w:b/>
                <w:sz w:val="20"/>
              </w:rPr>
              <w:t>9</w:t>
            </w:r>
            <w:r w:rsidRPr="008351FE">
              <w:rPr>
                <w:rFonts w:ascii="Arial" w:hAnsi="Arial" w:cs="Arial"/>
                <w:b/>
                <w:sz w:val="20"/>
              </w:rPr>
              <w:t>:</w:t>
            </w:r>
            <w:r>
              <w:rPr>
                <w:rFonts w:ascii="Arial" w:hAnsi="Arial" w:cs="Arial"/>
                <w:b/>
                <w:sz w:val="20"/>
              </w:rPr>
              <w:t xml:space="preserve"> </w:t>
            </w:r>
            <w:r w:rsidR="002457B1">
              <w:rPr>
                <w:rFonts w:ascii="Arial" w:hAnsi="Arial" w:cs="Arial"/>
                <w:b/>
                <w:sz w:val="20"/>
              </w:rPr>
              <w:t>Taxing and Spending Clause</w:t>
            </w:r>
            <w:r w:rsidR="002F51A2">
              <w:rPr>
                <w:rFonts w:ascii="Arial" w:hAnsi="Arial" w:cs="Arial"/>
                <w:b/>
                <w:sz w:val="20"/>
              </w:rPr>
              <w:t xml:space="preserve"> – Chapter 8</w:t>
            </w:r>
            <w:r w:rsidR="0021589C">
              <w:rPr>
                <w:rFonts w:ascii="Arial" w:hAnsi="Arial" w:cs="Arial"/>
                <w:b/>
                <w:sz w:val="20"/>
              </w:rPr>
              <w:t xml:space="preserve"> (5)</w:t>
            </w:r>
          </w:p>
          <w:p w14:paraId="38B7E659" w14:textId="2D36419C" w:rsidR="004556FE" w:rsidRPr="00891D43" w:rsidRDefault="00072F6D" w:rsidP="00DF3C0A">
            <w:pPr>
              <w:rPr>
                <w:rFonts w:ascii="Arial" w:hAnsi="Arial" w:cs="Arial"/>
                <w:bCs/>
                <w:i/>
                <w:iCs/>
                <w:sz w:val="20"/>
              </w:rPr>
            </w:pPr>
            <w:r>
              <w:rPr>
                <w:rFonts w:ascii="Arial" w:hAnsi="Arial" w:cs="Arial"/>
                <w:bCs/>
                <w:sz w:val="20"/>
              </w:rPr>
              <w:t>Cases:</w:t>
            </w:r>
            <w:r w:rsidR="002457B1">
              <w:t xml:space="preserve"> </w:t>
            </w:r>
            <w:r w:rsidR="002457B1" w:rsidRPr="002457B1">
              <w:rPr>
                <w:rFonts w:ascii="Arial" w:hAnsi="Arial" w:cs="Arial"/>
                <w:bCs/>
                <w:i/>
                <w:iCs/>
                <w:sz w:val="20"/>
              </w:rPr>
              <w:t>Pollack v. Farmers’ Loan &amp; Trust; United States v. Butler; Steward Machine Co. v. Davis; South Dakota v. Dole; National Federation of Independent Business v. Sebelius</w:t>
            </w:r>
          </w:p>
          <w:p w14:paraId="38462006" w14:textId="77777777" w:rsidR="005565CB" w:rsidRDefault="005565CB" w:rsidP="005565CB">
            <w:pPr>
              <w:rPr>
                <w:rFonts w:ascii="Arial" w:hAnsi="Arial" w:cs="Arial"/>
                <w:sz w:val="20"/>
              </w:rPr>
            </w:pPr>
          </w:p>
          <w:p w14:paraId="75476111" w14:textId="040A53C4" w:rsidR="005565CB" w:rsidRDefault="005565CB" w:rsidP="005565CB">
            <w:pPr>
              <w:rPr>
                <w:rFonts w:ascii="Arial" w:hAnsi="Arial" w:cs="Arial"/>
                <w:b/>
                <w:sz w:val="20"/>
              </w:rPr>
            </w:pPr>
            <w:r>
              <w:rPr>
                <w:rFonts w:ascii="Arial" w:hAnsi="Arial" w:cs="Arial"/>
                <w:b/>
                <w:sz w:val="20"/>
              </w:rPr>
              <w:t xml:space="preserve">Week </w:t>
            </w:r>
            <w:r w:rsidR="002F51A2">
              <w:rPr>
                <w:rFonts w:ascii="Arial" w:hAnsi="Arial" w:cs="Arial"/>
                <w:b/>
                <w:sz w:val="20"/>
              </w:rPr>
              <w:t>10</w:t>
            </w:r>
            <w:r w:rsidRPr="008351FE">
              <w:rPr>
                <w:rFonts w:ascii="Arial" w:hAnsi="Arial" w:cs="Arial"/>
                <w:b/>
                <w:sz w:val="20"/>
              </w:rPr>
              <w:t>:</w:t>
            </w:r>
            <w:r>
              <w:rPr>
                <w:rFonts w:ascii="Arial" w:hAnsi="Arial" w:cs="Arial"/>
                <w:b/>
                <w:sz w:val="20"/>
              </w:rPr>
              <w:t xml:space="preserve"> </w:t>
            </w:r>
            <w:r w:rsidR="002F51A2">
              <w:rPr>
                <w:rFonts w:ascii="Arial" w:hAnsi="Arial" w:cs="Arial"/>
                <w:b/>
                <w:sz w:val="20"/>
              </w:rPr>
              <w:t>Takings Clause – Chapter 9</w:t>
            </w:r>
            <w:r w:rsidR="0021589C">
              <w:rPr>
                <w:rFonts w:ascii="Arial" w:hAnsi="Arial" w:cs="Arial"/>
                <w:b/>
                <w:sz w:val="20"/>
              </w:rPr>
              <w:t xml:space="preserve"> (6)</w:t>
            </w:r>
          </w:p>
          <w:p w14:paraId="4E63AFAD" w14:textId="36C46885" w:rsidR="005565CB" w:rsidRPr="004C179E" w:rsidRDefault="005565CB" w:rsidP="005565CB">
            <w:pPr>
              <w:rPr>
                <w:rFonts w:ascii="Arial" w:hAnsi="Arial" w:cs="Arial"/>
                <w:i/>
                <w:sz w:val="20"/>
              </w:rPr>
            </w:pPr>
            <w:r>
              <w:rPr>
                <w:rFonts w:ascii="Arial" w:hAnsi="Arial" w:cs="Arial"/>
                <w:sz w:val="20"/>
              </w:rPr>
              <w:t xml:space="preserve">Cases: </w:t>
            </w:r>
            <w:r w:rsidR="002F51A2" w:rsidRPr="002F51A2">
              <w:rPr>
                <w:rFonts w:ascii="Arial" w:hAnsi="Arial" w:cs="Arial"/>
                <w:i/>
                <w:sz w:val="20"/>
              </w:rPr>
              <w:t xml:space="preserve">United States v. </w:t>
            </w:r>
            <w:proofErr w:type="spellStart"/>
            <w:r w:rsidR="002F51A2" w:rsidRPr="002F51A2">
              <w:rPr>
                <w:rFonts w:ascii="Arial" w:hAnsi="Arial" w:cs="Arial"/>
                <w:i/>
                <w:sz w:val="20"/>
              </w:rPr>
              <w:t>Causby</w:t>
            </w:r>
            <w:proofErr w:type="spellEnd"/>
            <w:r w:rsidR="002F51A2" w:rsidRPr="002F51A2">
              <w:rPr>
                <w:rFonts w:ascii="Arial" w:hAnsi="Arial" w:cs="Arial"/>
                <w:i/>
                <w:sz w:val="20"/>
              </w:rPr>
              <w:t xml:space="preserve">; Penn Central Transportation Company v. City of New York; </w:t>
            </w:r>
            <w:proofErr w:type="spellStart"/>
            <w:r w:rsidR="002F51A2" w:rsidRPr="002F51A2">
              <w:rPr>
                <w:rFonts w:ascii="Arial" w:hAnsi="Arial" w:cs="Arial"/>
                <w:i/>
                <w:sz w:val="20"/>
              </w:rPr>
              <w:t>Nollan</w:t>
            </w:r>
            <w:proofErr w:type="spellEnd"/>
            <w:r w:rsidR="002F51A2" w:rsidRPr="002F51A2">
              <w:rPr>
                <w:rFonts w:ascii="Arial" w:hAnsi="Arial" w:cs="Arial"/>
                <w:i/>
                <w:sz w:val="20"/>
              </w:rPr>
              <w:t xml:space="preserve"> v. California Coastal Commission; </w:t>
            </w:r>
            <w:r w:rsidR="00975FAB">
              <w:rPr>
                <w:rFonts w:ascii="Arial" w:hAnsi="Arial" w:cs="Arial"/>
                <w:i/>
                <w:sz w:val="20"/>
              </w:rPr>
              <w:t xml:space="preserve">Lucas v. South Carolina Coastal Council; </w:t>
            </w:r>
            <w:r w:rsidR="002F51A2" w:rsidRPr="002F51A2">
              <w:rPr>
                <w:rFonts w:ascii="Arial" w:hAnsi="Arial" w:cs="Arial"/>
                <w:i/>
                <w:sz w:val="20"/>
              </w:rPr>
              <w:t xml:space="preserve">Berman v. Parker; Hawaii Housing Authority v. Midkiff; </w:t>
            </w:r>
            <w:proofErr w:type="spellStart"/>
            <w:r w:rsidR="002F51A2" w:rsidRPr="002F51A2">
              <w:rPr>
                <w:rFonts w:ascii="Arial" w:hAnsi="Arial" w:cs="Arial"/>
                <w:i/>
                <w:sz w:val="20"/>
              </w:rPr>
              <w:t>Kelo</w:t>
            </w:r>
            <w:proofErr w:type="spellEnd"/>
            <w:r w:rsidR="002F51A2" w:rsidRPr="002F51A2">
              <w:rPr>
                <w:rFonts w:ascii="Arial" w:hAnsi="Arial" w:cs="Arial"/>
                <w:i/>
                <w:sz w:val="20"/>
              </w:rPr>
              <w:t xml:space="preserve"> v. City of New London</w:t>
            </w:r>
          </w:p>
          <w:p w14:paraId="61576C44" w14:textId="012B1BD8" w:rsidR="005565CB" w:rsidRDefault="005565CB" w:rsidP="005565CB">
            <w:pPr>
              <w:rPr>
                <w:rFonts w:ascii="Arial" w:hAnsi="Arial" w:cs="Arial"/>
                <w:iCs/>
                <w:sz w:val="20"/>
              </w:rPr>
            </w:pPr>
          </w:p>
          <w:p w14:paraId="6DD7EE6E" w14:textId="3862065C" w:rsidR="00A91C65" w:rsidRPr="00A91C65" w:rsidRDefault="00BD0806" w:rsidP="005565CB">
            <w:pPr>
              <w:rPr>
                <w:rFonts w:ascii="Arial" w:hAnsi="Arial" w:cs="Arial"/>
                <w:b/>
                <w:bCs/>
                <w:iCs/>
                <w:sz w:val="20"/>
              </w:rPr>
            </w:pPr>
            <w:r>
              <w:rPr>
                <w:rFonts w:ascii="Arial" w:hAnsi="Arial" w:cs="Arial"/>
                <w:b/>
                <w:bCs/>
                <w:iCs/>
                <w:sz w:val="20"/>
              </w:rPr>
              <w:t>Week 1</w:t>
            </w:r>
            <w:r w:rsidR="002F51A2">
              <w:rPr>
                <w:rFonts w:ascii="Arial" w:hAnsi="Arial" w:cs="Arial"/>
                <w:b/>
                <w:bCs/>
                <w:iCs/>
                <w:sz w:val="20"/>
              </w:rPr>
              <w:t>1</w:t>
            </w:r>
            <w:r>
              <w:rPr>
                <w:rFonts w:ascii="Arial" w:hAnsi="Arial" w:cs="Arial"/>
                <w:b/>
                <w:bCs/>
                <w:iCs/>
                <w:sz w:val="20"/>
              </w:rPr>
              <w:t xml:space="preserve">: </w:t>
            </w:r>
            <w:r w:rsidR="002F51A2">
              <w:rPr>
                <w:rFonts w:ascii="Arial" w:hAnsi="Arial" w:cs="Arial"/>
                <w:b/>
                <w:bCs/>
                <w:iCs/>
                <w:sz w:val="20"/>
              </w:rPr>
              <w:t>Contracts Clause – Chapter 11</w:t>
            </w:r>
            <w:r w:rsidR="0021589C">
              <w:rPr>
                <w:rFonts w:ascii="Arial" w:hAnsi="Arial" w:cs="Arial"/>
                <w:b/>
                <w:bCs/>
                <w:iCs/>
                <w:sz w:val="20"/>
              </w:rPr>
              <w:t xml:space="preserve"> (7)</w:t>
            </w:r>
          </w:p>
          <w:p w14:paraId="35FAC0E9" w14:textId="0109F501" w:rsidR="00A91C65" w:rsidRPr="00985571" w:rsidRDefault="00891D43" w:rsidP="00A91C65">
            <w:pPr>
              <w:rPr>
                <w:rFonts w:ascii="Arial" w:hAnsi="Arial" w:cs="Arial"/>
                <w:bCs/>
                <w:sz w:val="20"/>
              </w:rPr>
            </w:pPr>
            <w:r>
              <w:rPr>
                <w:rFonts w:ascii="Arial" w:hAnsi="Arial" w:cs="Arial"/>
                <w:bCs/>
                <w:sz w:val="20"/>
              </w:rPr>
              <w:t xml:space="preserve">Cases: </w:t>
            </w:r>
            <w:proofErr w:type="spellStart"/>
            <w:r w:rsidR="002F51A2" w:rsidRPr="002F51A2">
              <w:rPr>
                <w:rFonts w:ascii="Arial" w:hAnsi="Arial" w:cs="Arial"/>
                <w:bCs/>
                <w:i/>
                <w:iCs/>
                <w:sz w:val="20"/>
              </w:rPr>
              <w:t>Flecther</w:t>
            </w:r>
            <w:proofErr w:type="spellEnd"/>
            <w:r w:rsidR="002F51A2" w:rsidRPr="002F51A2">
              <w:rPr>
                <w:rFonts w:ascii="Arial" w:hAnsi="Arial" w:cs="Arial"/>
                <w:bCs/>
                <w:i/>
                <w:iCs/>
                <w:sz w:val="20"/>
              </w:rPr>
              <w:t xml:space="preserve"> v. Peck; Trustees of Dartmouth College v. Woodward; Proprietors of Charles River Bridge vs. Proprietors of Warren Bridge; Stone v. Mississippi; Home Building and Loan Association v. Blaisdell; United States Trust Company v. New Jersey; Allied Structural Steel vs. </w:t>
            </w:r>
            <w:proofErr w:type="spellStart"/>
            <w:r w:rsidR="002F51A2" w:rsidRPr="002F51A2">
              <w:rPr>
                <w:rFonts w:ascii="Arial" w:hAnsi="Arial" w:cs="Arial"/>
                <w:bCs/>
                <w:i/>
                <w:iCs/>
                <w:sz w:val="20"/>
              </w:rPr>
              <w:t>Spannaus</w:t>
            </w:r>
            <w:proofErr w:type="spellEnd"/>
          </w:p>
          <w:p w14:paraId="0D7754BE" w14:textId="77777777" w:rsidR="00A91C65" w:rsidRPr="00A91C65" w:rsidRDefault="00A91C65" w:rsidP="005565CB">
            <w:pPr>
              <w:rPr>
                <w:rFonts w:ascii="Arial" w:hAnsi="Arial" w:cs="Arial"/>
                <w:iCs/>
                <w:sz w:val="20"/>
              </w:rPr>
            </w:pPr>
          </w:p>
          <w:p w14:paraId="71E16689" w14:textId="61371E8D" w:rsidR="005565CB" w:rsidRDefault="005565CB" w:rsidP="005565CB">
            <w:pPr>
              <w:rPr>
                <w:rFonts w:ascii="Arial" w:hAnsi="Arial" w:cs="Arial"/>
                <w:b/>
                <w:sz w:val="20"/>
              </w:rPr>
            </w:pPr>
            <w:r>
              <w:rPr>
                <w:rFonts w:ascii="Arial" w:hAnsi="Arial" w:cs="Arial"/>
                <w:b/>
                <w:sz w:val="20"/>
              </w:rPr>
              <w:t>Week 1</w:t>
            </w:r>
            <w:r w:rsidR="002F51A2">
              <w:rPr>
                <w:rFonts w:ascii="Arial" w:hAnsi="Arial" w:cs="Arial"/>
                <w:b/>
                <w:sz w:val="20"/>
              </w:rPr>
              <w:t>2</w:t>
            </w:r>
            <w:r>
              <w:rPr>
                <w:rFonts w:ascii="Arial" w:hAnsi="Arial" w:cs="Arial"/>
                <w:b/>
                <w:sz w:val="20"/>
              </w:rPr>
              <w:t xml:space="preserve">: </w:t>
            </w:r>
            <w:r w:rsidR="002F51A2">
              <w:rPr>
                <w:rFonts w:ascii="Arial" w:hAnsi="Arial" w:cs="Arial"/>
                <w:b/>
                <w:sz w:val="20"/>
              </w:rPr>
              <w:t>Wartime and Emergencies – Chapter 5</w:t>
            </w:r>
            <w:r w:rsidR="0021589C">
              <w:rPr>
                <w:rFonts w:ascii="Arial" w:hAnsi="Arial" w:cs="Arial"/>
                <w:b/>
                <w:sz w:val="20"/>
              </w:rPr>
              <w:t xml:space="preserve"> (8)</w:t>
            </w:r>
          </w:p>
          <w:p w14:paraId="58F12E66" w14:textId="089BD361" w:rsidR="005565CB" w:rsidRDefault="005565CB" w:rsidP="005565CB">
            <w:pPr>
              <w:rPr>
                <w:rFonts w:ascii="Arial" w:hAnsi="Arial" w:cs="Arial"/>
                <w:bCs/>
                <w:i/>
                <w:iCs/>
                <w:sz w:val="20"/>
              </w:rPr>
            </w:pPr>
            <w:r w:rsidRPr="004E61E2">
              <w:rPr>
                <w:rFonts w:ascii="Arial" w:hAnsi="Arial" w:cs="Arial"/>
                <w:sz w:val="20"/>
              </w:rPr>
              <w:t>Cases</w:t>
            </w:r>
            <w:r w:rsidR="00072F6D">
              <w:rPr>
                <w:rFonts w:ascii="Arial" w:hAnsi="Arial" w:cs="Arial"/>
                <w:sz w:val="20"/>
              </w:rPr>
              <w:t>:</w:t>
            </w:r>
            <w:r w:rsidR="00A91C65">
              <w:rPr>
                <w:rFonts w:ascii="Arial" w:hAnsi="Arial" w:cs="Arial"/>
                <w:sz w:val="20"/>
              </w:rPr>
              <w:t xml:space="preserve"> </w:t>
            </w:r>
            <w:r w:rsidR="002F51A2" w:rsidRPr="002F51A2">
              <w:rPr>
                <w:rFonts w:ascii="Arial" w:hAnsi="Arial" w:cs="Arial"/>
                <w:bCs/>
                <w:i/>
                <w:iCs/>
                <w:sz w:val="20"/>
              </w:rPr>
              <w:t xml:space="preserve">The Prize Cases; Youngstown Sheet and Tube Co. v. Sawyer; Dames &amp; Moore v. Regan; Ex </w:t>
            </w:r>
            <w:proofErr w:type="spellStart"/>
            <w:r w:rsidR="002F51A2" w:rsidRPr="002F51A2">
              <w:rPr>
                <w:rFonts w:ascii="Arial" w:hAnsi="Arial" w:cs="Arial"/>
                <w:bCs/>
                <w:i/>
                <w:iCs/>
                <w:sz w:val="20"/>
              </w:rPr>
              <w:t>parte</w:t>
            </w:r>
            <w:proofErr w:type="spellEnd"/>
            <w:r w:rsidR="002F51A2" w:rsidRPr="002F51A2">
              <w:rPr>
                <w:rFonts w:ascii="Arial" w:hAnsi="Arial" w:cs="Arial"/>
                <w:bCs/>
                <w:i/>
                <w:iCs/>
                <w:sz w:val="20"/>
              </w:rPr>
              <w:t xml:space="preserve"> Milligan; Ex </w:t>
            </w:r>
            <w:proofErr w:type="spellStart"/>
            <w:r w:rsidR="002F51A2" w:rsidRPr="002F51A2">
              <w:rPr>
                <w:rFonts w:ascii="Arial" w:hAnsi="Arial" w:cs="Arial"/>
                <w:bCs/>
                <w:i/>
                <w:iCs/>
                <w:sz w:val="20"/>
              </w:rPr>
              <w:t>parte</w:t>
            </w:r>
            <w:proofErr w:type="spellEnd"/>
            <w:r w:rsidR="002F51A2" w:rsidRPr="002F51A2">
              <w:rPr>
                <w:rFonts w:ascii="Arial" w:hAnsi="Arial" w:cs="Arial"/>
                <w:bCs/>
                <w:i/>
                <w:iCs/>
                <w:sz w:val="20"/>
              </w:rPr>
              <w:t xml:space="preserve"> </w:t>
            </w:r>
            <w:proofErr w:type="spellStart"/>
            <w:r w:rsidR="002F51A2" w:rsidRPr="002F51A2">
              <w:rPr>
                <w:rFonts w:ascii="Arial" w:hAnsi="Arial" w:cs="Arial"/>
                <w:bCs/>
                <w:i/>
                <w:iCs/>
                <w:sz w:val="20"/>
              </w:rPr>
              <w:t>Quirin</w:t>
            </w:r>
            <w:proofErr w:type="spellEnd"/>
            <w:r w:rsidR="002F51A2" w:rsidRPr="002F51A2">
              <w:rPr>
                <w:rFonts w:ascii="Arial" w:hAnsi="Arial" w:cs="Arial"/>
                <w:bCs/>
                <w:i/>
                <w:iCs/>
                <w:sz w:val="20"/>
              </w:rPr>
              <w:t>; Korematsu v. United States; Hamdi v. Rumsfeld; Hamdan v. Rumsfeld</w:t>
            </w:r>
          </w:p>
          <w:p w14:paraId="5D08E3DD" w14:textId="77777777" w:rsidR="002F51A2" w:rsidRDefault="002F51A2" w:rsidP="005565CB">
            <w:pPr>
              <w:rPr>
                <w:rFonts w:ascii="Arial" w:hAnsi="Arial" w:cs="Arial"/>
                <w:sz w:val="20"/>
              </w:rPr>
            </w:pPr>
          </w:p>
          <w:p w14:paraId="378DDAD8" w14:textId="7D493148" w:rsidR="005565CB" w:rsidRDefault="005565CB" w:rsidP="005565CB">
            <w:pPr>
              <w:rPr>
                <w:rFonts w:ascii="Arial" w:hAnsi="Arial" w:cs="Arial"/>
                <w:b/>
                <w:sz w:val="20"/>
              </w:rPr>
            </w:pPr>
            <w:r>
              <w:rPr>
                <w:rFonts w:ascii="Arial" w:hAnsi="Arial" w:cs="Arial"/>
                <w:b/>
                <w:sz w:val="20"/>
              </w:rPr>
              <w:t>Week 1</w:t>
            </w:r>
            <w:r w:rsidR="002F51A2">
              <w:rPr>
                <w:rFonts w:ascii="Arial" w:hAnsi="Arial" w:cs="Arial"/>
                <w:b/>
                <w:sz w:val="20"/>
              </w:rPr>
              <w:t>3</w:t>
            </w:r>
            <w:r w:rsidRPr="008351FE">
              <w:rPr>
                <w:rFonts w:ascii="Arial" w:hAnsi="Arial" w:cs="Arial"/>
                <w:b/>
                <w:sz w:val="20"/>
              </w:rPr>
              <w:t>:</w:t>
            </w:r>
            <w:r>
              <w:rPr>
                <w:rFonts w:ascii="Arial" w:hAnsi="Arial" w:cs="Arial"/>
                <w:b/>
                <w:sz w:val="20"/>
              </w:rPr>
              <w:t xml:space="preserve"> </w:t>
            </w:r>
            <w:r w:rsidR="002F51A2">
              <w:rPr>
                <w:rFonts w:ascii="Arial" w:hAnsi="Arial" w:cs="Arial"/>
                <w:b/>
                <w:sz w:val="20"/>
              </w:rPr>
              <w:t>Miscellaneous Cases</w:t>
            </w:r>
            <w:r w:rsidR="0021589C">
              <w:rPr>
                <w:rFonts w:ascii="Arial" w:hAnsi="Arial" w:cs="Arial"/>
                <w:b/>
                <w:sz w:val="20"/>
              </w:rPr>
              <w:t xml:space="preserve"> (8)</w:t>
            </w:r>
          </w:p>
          <w:p w14:paraId="6BDFF55A" w14:textId="73B14E45" w:rsidR="00891D43" w:rsidRDefault="005565CB" w:rsidP="005565CB">
            <w:pPr>
              <w:rPr>
                <w:rFonts w:ascii="Arial" w:hAnsi="Arial" w:cs="Arial"/>
                <w:i/>
                <w:sz w:val="20"/>
              </w:rPr>
            </w:pPr>
            <w:r>
              <w:rPr>
                <w:rFonts w:ascii="Arial" w:hAnsi="Arial" w:cs="Arial"/>
                <w:sz w:val="20"/>
              </w:rPr>
              <w:t xml:space="preserve">Cases: </w:t>
            </w:r>
            <w:r w:rsidR="002F51A2" w:rsidRPr="002F51A2">
              <w:rPr>
                <w:rFonts w:ascii="Arial" w:hAnsi="Arial" w:cs="Arial"/>
                <w:i/>
                <w:sz w:val="20"/>
              </w:rPr>
              <w:t xml:space="preserve">United States v. </w:t>
            </w:r>
            <w:proofErr w:type="spellStart"/>
            <w:r w:rsidR="002F51A2" w:rsidRPr="002F51A2">
              <w:rPr>
                <w:rFonts w:ascii="Arial" w:hAnsi="Arial" w:cs="Arial"/>
                <w:i/>
                <w:sz w:val="20"/>
              </w:rPr>
              <w:t>Kagama</w:t>
            </w:r>
            <w:proofErr w:type="spellEnd"/>
            <w:r w:rsidR="002F51A2" w:rsidRPr="002F51A2">
              <w:rPr>
                <w:rFonts w:ascii="Arial" w:hAnsi="Arial" w:cs="Arial"/>
                <w:i/>
                <w:sz w:val="20"/>
              </w:rPr>
              <w:t>; Lone Wolf v. Hitchcock; United States v. Sioux Nation of Indians; Hepburn v. Griswold; Knox v. Lee; Julliard v. Greenman; Texas v White; Balzac v. Porto Rico</w:t>
            </w:r>
          </w:p>
          <w:p w14:paraId="2C56AAD5" w14:textId="77777777" w:rsidR="00B0295F" w:rsidRDefault="00B0295F" w:rsidP="00B0295F">
            <w:pPr>
              <w:rPr>
                <w:rFonts w:ascii="Arial" w:hAnsi="Arial" w:cs="Arial"/>
                <w:sz w:val="20"/>
              </w:rPr>
            </w:pPr>
          </w:p>
          <w:p w14:paraId="13E48559" w14:textId="77777777" w:rsidR="00012A9E" w:rsidRPr="00D868C2" w:rsidRDefault="00B0295F" w:rsidP="00B0295F">
            <w:pPr>
              <w:rPr>
                <w:rFonts w:ascii="Arial" w:hAnsi="Arial" w:cs="Arial"/>
                <w:b/>
                <w:sz w:val="20"/>
              </w:rPr>
            </w:pPr>
            <w:r w:rsidRPr="008351FE">
              <w:rPr>
                <w:rFonts w:ascii="Arial" w:hAnsi="Arial" w:cs="Arial"/>
                <w:b/>
                <w:sz w:val="20"/>
              </w:rPr>
              <w:t>Week 14:</w:t>
            </w:r>
            <w:r>
              <w:rPr>
                <w:rFonts w:ascii="Arial" w:hAnsi="Arial" w:cs="Arial"/>
                <w:b/>
                <w:sz w:val="20"/>
              </w:rPr>
              <w:t xml:space="preserve"> Hot Topics and Make-Up Days</w:t>
            </w:r>
          </w:p>
        </w:tc>
      </w:tr>
    </w:tbl>
    <w:p w14:paraId="2FDA98FD" w14:textId="77777777" w:rsidR="002457B1" w:rsidRDefault="002457B1">
      <w:r>
        <w:br w:type="page"/>
      </w:r>
    </w:p>
    <w:tbl>
      <w:tblPr>
        <w:tblW w:w="10340" w:type="dxa"/>
        <w:tblLayout w:type="fixed"/>
        <w:tblLook w:val="00A0" w:firstRow="1" w:lastRow="0" w:firstColumn="1" w:lastColumn="0" w:noHBand="0" w:noVBand="0"/>
      </w:tblPr>
      <w:tblGrid>
        <w:gridCol w:w="10340"/>
      </w:tblGrid>
      <w:tr w:rsidR="00D6678E" w:rsidRPr="00C2322F" w14:paraId="2612F8EE" w14:textId="77777777" w:rsidTr="00D76428">
        <w:tc>
          <w:tcPr>
            <w:tcW w:w="10340" w:type="dxa"/>
            <w:shd w:val="clear" w:color="auto" w:fill="auto"/>
          </w:tcPr>
          <w:p w14:paraId="6D993330" w14:textId="5D91724B" w:rsidR="00D6678E" w:rsidRDefault="00D6678E" w:rsidP="00B0295F">
            <w:pPr>
              <w:jc w:val="center"/>
              <w:rPr>
                <w:rFonts w:ascii="Arial" w:hAnsi="Arial" w:cs="Arial"/>
                <w:b/>
                <w:sz w:val="20"/>
              </w:rPr>
            </w:pPr>
            <w:r>
              <w:rPr>
                <w:rFonts w:ascii="Arial" w:hAnsi="Arial" w:cs="Arial"/>
                <w:b/>
                <w:sz w:val="20"/>
              </w:rPr>
              <w:lastRenderedPageBreak/>
              <w:t>Elements of a Quality Case Brief</w:t>
            </w:r>
          </w:p>
          <w:p w14:paraId="294DBB30" w14:textId="77777777" w:rsidR="00D6678E" w:rsidRPr="00D6678E" w:rsidRDefault="00D6678E" w:rsidP="00B0295F">
            <w:pPr>
              <w:jc w:val="center"/>
              <w:rPr>
                <w:rFonts w:ascii="Arial" w:hAnsi="Arial" w:cs="Arial"/>
                <w:b/>
                <w:sz w:val="20"/>
              </w:rPr>
            </w:pPr>
          </w:p>
        </w:tc>
      </w:tr>
      <w:tr w:rsidR="00B0295F" w:rsidRPr="00C2322F" w14:paraId="47CBB4CF" w14:textId="77777777" w:rsidTr="00D76428">
        <w:tc>
          <w:tcPr>
            <w:tcW w:w="10340" w:type="dxa"/>
            <w:shd w:val="clear" w:color="auto" w:fill="auto"/>
          </w:tcPr>
          <w:p w14:paraId="40E489CB" w14:textId="3E8A1A48" w:rsidR="00B0295F" w:rsidRPr="0086630F" w:rsidRDefault="00B0295F" w:rsidP="00B0295F">
            <w:pPr>
              <w:rPr>
                <w:rFonts w:ascii="Arial" w:hAnsi="Arial" w:cs="Arial"/>
                <w:sz w:val="20"/>
              </w:rPr>
            </w:pPr>
            <w:r w:rsidRPr="00D868C2">
              <w:rPr>
                <w:rFonts w:ascii="Arial" w:hAnsi="Arial" w:cs="Arial"/>
                <w:sz w:val="20"/>
              </w:rPr>
              <w:t xml:space="preserve">1. </w:t>
            </w:r>
            <w:r w:rsidRPr="00D868C2">
              <w:rPr>
                <w:rFonts w:ascii="Arial" w:hAnsi="Arial" w:cs="Arial"/>
                <w:i/>
                <w:sz w:val="20"/>
              </w:rPr>
              <w:t>Name of the case</w:t>
            </w:r>
            <w:r w:rsidRPr="00D868C2">
              <w:rPr>
                <w:rFonts w:ascii="Arial" w:hAnsi="Arial" w:cs="Arial"/>
                <w:sz w:val="20"/>
              </w:rPr>
              <w:t xml:space="preserve">.  Always located at the beginning, the name or title identifies the parties to the case.  The name of the person or entity bringing the case to the Supreme Court appears first; the party being brought to the Supreme Court is listed second.  The “v.” stands for “versus” or “against.”  So, in </w:t>
            </w:r>
            <w:r w:rsidRPr="00D868C2">
              <w:rPr>
                <w:rFonts w:ascii="Arial" w:hAnsi="Arial" w:cs="Arial"/>
                <w:i/>
                <w:sz w:val="20"/>
              </w:rPr>
              <w:t>Chimel</w:t>
            </w:r>
            <w:r w:rsidRPr="00D868C2">
              <w:rPr>
                <w:rFonts w:ascii="Arial" w:hAnsi="Arial" w:cs="Arial"/>
                <w:sz w:val="20"/>
              </w:rPr>
              <w:t xml:space="preserve"> v. </w:t>
            </w:r>
            <w:r w:rsidRPr="00D868C2">
              <w:rPr>
                <w:rFonts w:ascii="Arial" w:hAnsi="Arial" w:cs="Arial"/>
                <w:i/>
                <w:sz w:val="20"/>
              </w:rPr>
              <w:t>California</w:t>
            </w:r>
            <w:r w:rsidRPr="00D868C2">
              <w:rPr>
                <w:rFonts w:ascii="Arial" w:hAnsi="Arial" w:cs="Arial"/>
                <w:sz w:val="20"/>
              </w:rPr>
              <w:t xml:space="preserve">, Ted Chimel challenged his </w:t>
            </w:r>
            <w:r w:rsidR="007963E4">
              <w:rPr>
                <w:rFonts w:ascii="Arial" w:hAnsi="Arial" w:cs="Arial"/>
                <w:sz w:val="20"/>
              </w:rPr>
              <w:t xml:space="preserve">criminal </w:t>
            </w:r>
            <w:r w:rsidRPr="00D868C2">
              <w:rPr>
                <w:rFonts w:ascii="Arial" w:hAnsi="Arial" w:cs="Arial"/>
                <w:sz w:val="20"/>
              </w:rPr>
              <w:t>conviction in a California trial court</w:t>
            </w:r>
            <w:r w:rsidR="007963E4">
              <w:rPr>
                <w:rFonts w:ascii="Arial" w:hAnsi="Arial" w:cs="Arial"/>
                <w:sz w:val="20"/>
              </w:rPr>
              <w:t>.</w:t>
            </w:r>
            <w:r w:rsidR="007963E4" w:rsidRPr="00D868C2">
              <w:rPr>
                <w:rFonts w:ascii="Arial" w:hAnsi="Arial" w:cs="Arial"/>
                <w:sz w:val="20"/>
              </w:rPr>
              <w:t xml:space="preserve"> Having lost in the California Supreme Court, Chimel sought review in the United States Supreme Court.</w:t>
            </w:r>
            <w:r w:rsidRPr="00D868C2">
              <w:rPr>
                <w:rFonts w:ascii="Arial" w:hAnsi="Arial" w:cs="Arial"/>
                <w:sz w:val="20"/>
              </w:rPr>
              <w:t xml:space="preserve"> </w:t>
            </w:r>
            <w:r w:rsidR="0086630F">
              <w:rPr>
                <w:rFonts w:ascii="Arial" w:hAnsi="Arial" w:cs="Arial"/>
                <w:sz w:val="20"/>
              </w:rPr>
              <w:t xml:space="preserve">Cases are also assigned a citation number </w:t>
            </w:r>
            <w:r w:rsidR="00D6678E">
              <w:rPr>
                <w:rFonts w:ascii="Arial" w:hAnsi="Arial" w:cs="Arial"/>
                <w:sz w:val="20"/>
              </w:rPr>
              <w:t>for Court records</w:t>
            </w:r>
            <w:r w:rsidR="0086630F">
              <w:rPr>
                <w:rFonts w:ascii="Arial" w:hAnsi="Arial" w:cs="Arial"/>
                <w:sz w:val="20"/>
              </w:rPr>
              <w:t xml:space="preserve">; </w:t>
            </w:r>
            <w:r w:rsidR="0086630F">
              <w:rPr>
                <w:rFonts w:ascii="Arial" w:hAnsi="Arial" w:cs="Arial"/>
                <w:i/>
                <w:sz w:val="20"/>
              </w:rPr>
              <w:t>Chimel’</w:t>
            </w:r>
            <w:r w:rsidR="0086630F">
              <w:rPr>
                <w:rFonts w:ascii="Arial" w:hAnsi="Arial" w:cs="Arial"/>
                <w:sz w:val="20"/>
              </w:rPr>
              <w:t xml:space="preserve">s citation is </w:t>
            </w:r>
            <w:r w:rsidR="0086630F" w:rsidRPr="0086630F">
              <w:rPr>
                <w:rFonts w:ascii="Arial" w:hAnsi="Arial" w:cs="Arial"/>
                <w:sz w:val="20"/>
              </w:rPr>
              <w:t>395 U.S. 752</w:t>
            </w:r>
            <w:r w:rsidR="0086630F">
              <w:rPr>
                <w:rFonts w:ascii="Arial" w:hAnsi="Arial" w:cs="Arial"/>
                <w:sz w:val="20"/>
              </w:rPr>
              <w:t>.</w:t>
            </w:r>
          </w:p>
          <w:p w14:paraId="1A870797" w14:textId="77777777" w:rsidR="0086630F" w:rsidRPr="00D868C2" w:rsidRDefault="0086630F" w:rsidP="00B0295F">
            <w:pPr>
              <w:rPr>
                <w:rFonts w:ascii="Arial" w:hAnsi="Arial" w:cs="Arial"/>
                <w:sz w:val="20"/>
              </w:rPr>
            </w:pPr>
          </w:p>
          <w:p w14:paraId="493AF356" w14:textId="531F00DD" w:rsidR="00B0295F" w:rsidRDefault="00B0295F" w:rsidP="00B0295F">
            <w:pPr>
              <w:rPr>
                <w:rFonts w:ascii="Arial" w:hAnsi="Arial" w:cs="Arial"/>
                <w:sz w:val="20"/>
              </w:rPr>
            </w:pPr>
            <w:r w:rsidRPr="00D868C2">
              <w:rPr>
                <w:rFonts w:ascii="Arial" w:hAnsi="Arial" w:cs="Arial"/>
                <w:sz w:val="20"/>
              </w:rPr>
              <w:t xml:space="preserve">2. </w:t>
            </w:r>
            <w:r w:rsidRPr="00D868C2">
              <w:rPr>
                <w:rFonts w:ascii="Arial" w:hAnsi="Arial" w:cs="Arial"/>
                <w:i/>
                <w:sz w:val="20"/>
              </w:rPr>
              <w:t>Facts</w:t>
            </w:r>
            <w:r w:rsidR="0086630F">
              <w:rPr>
                <w:rFonts w:ascii="Arial" w:hAnsi="Arial" w:cs="Arial"/>
                <w:i/>
                <w:sz w:val="20"/>
              </w:rPr>
              <w:t xml:space="preserve"> and Case History</w:t>
            </w:r>
            <w:r w:rsidRPr="00D868C2">
              <w:rPr>
                <w:rFonts w:ascii="Arial" w:hAnsi="Arial" w:cs="Arial"/>
                <w:i/>
                <w:sz w:val="20"/>
              </w:rPr>
              <w:t>.</w:t>
            </w:r>
            <w:r w:rsidRPr="00D868C2">
              <w:rPr>
                <w:rFonts w:ascii="Arial" w:hAnsi="Arial" w:cs="Arial"/>
                <w:sz w:val="20"/>
              </w:rPr>
              <w:t xml:space="preserve">  Cases are real, not hypothetical, controversies between parties.  The issues of a case arise from circumstances or events that have prompted one or both parties to seek redress or resolution in court.  The facts of a case may or may not be in dispute, but they are always a factor in how cases are decided.</w:t>
            </w:r>
            <w:r w:rsidR="0086630F">
              <w:rPr>
                <w:rFonts w:ascii="Arial" w:hAnsi="Arial" w:cs="Arial"/>
                <w:sz w:val="20"/>
              </w:rPr>
              <w:t xml:space="preserve"> Each case also has a legal history of it made it to the Supreme Court, including whether the case originated in a state or federal court.</w:t>
            </w:r>
            <w:r w:rsidR="007963E4">
              <w:rPr>
                <w:rFonts w:ascii="Arial" w:hAnsi="Arial" w:cs="Arial"/>
                <w:sz w:val="20"/>
              </w:rPr>
              <w:t xml:space="preserve"> Chimel was convicted </w:t>
            </w:r>
            <w:r w:rsidR="007963E4" w:rsidRPr="00D868C2">
              <w:rPr>
                <w:rFonts w:ascii="Arial" w:hAnsi="Arial" w:cs="Arial"/>
                <w:sz w:val="20"/>
              </w:rPr>
              <w:t>for burglary</w:t>
            </w:r>
            <w:r w:rsidR="007963E4">
              <w:rPr>
                <w:rFonts w:ascii="Arial" w:hAnsi="Arial" w:cs="Arial"/>
                <w:sz w:val="20"/>
              </w:rPr>
              <w:t xml:space="preserve"> but appealed his conviction</w:t>
            </w:r>
            <w:r w:rsidR="007963E4" w:rsidRPr="00D868C2">
              <w:rPr>
                <w:rFonts w:ascii="Arial" w:hAnsi="Arial" w:cs="Arial"/>
                <w:sz w:val="20"/>
              </w:rPr>
              <w:t xml:space="preserve"> by asserting that the search of his residence by police violated the Fourth and Fourteenth amendments. </w:t>
            </w:r>
          </w:p>
          <w:p w14:paraId="75960F05" w14:textId="77777777" w:rsidR="00B0295F" w:rsidRPr="00D868C2" w:rsidRDefault="00B0295F" w:rsidP="00B0295F">
            <w:pPr>
              <w:rPr>
                <w:rFonts w:ascii="Arial" w:hAnsi="Arial" w:cs="Arial"/>
                <w:sz w:val="20"/>
              </w:rPr>
            </w:pPr>
          </w:p>
          <w:p w14:paraId="18CB186C" w14:textId="67710DC7" w:rsidR="00B0295F" w:rsidRDefault="00B0295F" w:rsidP="00B0295F">
            <w:pPr>
              <w:rPr>
                <w:rFonts w:ascii="Arial" w:hAnsi="Arial" w:cs="Arial"/>
                <w:sz w:val="20"/>
              </w:rPr>
            </w:pPr>
            <w:r w:rsidRPr="00D868C2">
              <w:rPr>
                <w:rFonts w:ascii="Arial" w:hAnsi="Arial" w:cs="Arial"/>
                <w:sz w:val="20"/>
              </w:rPr>
              <w:t xml:space="preserve">3. </w:t>
            </w:r>
            <w:r w:rsidRPr="00D868C2">
              <w:rPr>
                <w:rFonts w:ascii="Arial" w:hAnsi="Arial" w:cs="Arial"/>
                <w:i/>
                <w:sz w:val="20"/>
              </w:rPr>
              <w:t xml:space="preserve">Question(s).  </w:t>
            </w:r>
            <w:r w:rsidRPr="00D868C2">
              <w:rPr>
                <w:rFonts w:ascii="Arial" w:hAnsi="Arial" w:cs="Arial"/>
                <w:sz w:val="20"/>
              </w:rPr>
              <w:t>The facts of a case present one or more issues or questions for decision.  Most of a judicial opinion is an effort to answer those questions.  While even a relatively simple case may generate many questions, litigants in the Supreme Court typically seek review only of those of the gravest importance -- to themselves and/or to the nation.  Ordinarily, the Supreme Court decides questions of law, not fact.  In reviewing criminal convictions, for instance, the Court is rarely concerned with a defendant’s actual guilt or innocence.  Rather, the justices focus on procedural issues, such as the admissibility of evidence or the lawfulness of an arrest.  Accordingly, by the time Ted Chimel’s case reached the Supreme Court, everyone admitted that he burgled the coin shop.  The question the Court had to decide, therefore, was not whether Chimel committed the crime but whether the Fourth Amendment called for a search warrant in Chimel’s case and in others like it.</w:t>
            </w:r>
          </w:p>
          <w:p w14:paraId="4274A666" w14:textId="77777777" w:rsidR="00B0295F" w:rsidRPr="00D868C2" w:rsidRDefault="00B0295F" w:rsidP="00B0295F">
            <w:pPr>
              <w:rPr>
                <w:rFonts w:ascii="Arial" w:hAnsi="Arial" w:cs="Arial"/>
                <w:sz w:val="20"/>
              </w:rPr>
            </w:pPr>
          </w:p>
          <w:p w14:paraId="1020759E" w14:textId="77777777" w:rsidR="00B0295F" w:rsidRDefault="00B0295F" w:rsidP="00B0295F">
            <w:pPr>
              <w:rPr>
                <w:rFonts w:ascii="Arial" w:hAnsi="Arial" w:cs="Arial"/>
                <w:sz w:val="20"/>
              </w:rPr>
            </w:pPr>
            <w:r w:rsidRPr="00D868C2">
              <w:rPr>
                <w:rFonts w:ascii="Arial" w:hAnsi="Arial" w:cs="Arial"/>
                <w:sz w:val="20"/>
              </w:rPr>
              <w:t xml:space="preserve">4. </w:t>
            </w:r>
            <w:r w:rsidRPr="00D868C2">
              <w:rPr>
                <w:rFonts w:ascii="Arial" w:hAnsi="Arial" w:cs="Arial"/>
                <w:i/>
                <w:sz w:val="20"/>
              </w:rPr>
              <w:t>Decision.</w:t>
            </w:r>
            <w:r w:rsidRPr="00D868C2">
              <w:rPr>
                <w:rFonts w:ascii="Arial" w:hAnsi="Arial" w:cs="Arial"/>
                <w:sz w:val="20"/>
              </w:rPr>
              <w:t xml:space="preserve">   This is the result or outcome of a case.  The Court’s opinion provides an answer to the question(s) the case raises.  For example, a government agency has, or has not, exceeded its authority under a statute or the Constitution.  </w:t>
            </w:r>
            <w:r w:rsidR="0086630F">
              <w:rPr>
                <w:rFonts w:ascii="Arial" w:hAnsi="Arial" w:cs="Arial"/>
                <w:sz w:val="20"/>
              </w:rPr>
              <w:t>In cases in which the Court serves as an appellate body</w:t>
            </w:r>
            <w:r w:rsidRPr="00D868C2">
              <w:rPr>
                <w:rFonts w:ascii="Arial" w:hAnsi="Arial" w:cs="Arial"/>
                <w:sz w:val="20"/>
              </w:rPr>
              <w:t xml:space="preserve">, decisions </w:t>
            </w:r>
            <w:r w:rsidR="0086630F">
              <w:rPr>
                <w:rFonts w:ascii="Arial" w:hAnsi="Arial" w:cs="Arial"/>
                <w:sz w:val="20"/>
              </w:rPr>
              <w:t xml:space="preserve">also </w:t>
            </w:r>
            <w:r w:rsidRPr="00D868C2">
              <w:rPr>
                <w:rFonts w:ascii="Arial" w:hAnsi="Arial" w:cs="Arial"/>
                <w:sz w:val="20"/>
              </w:rPr>
              <w:t xml:space="preserve">take the form of </w:t>
            </w:r>
            <w:r w:rsidRPr="00D868C2">
              <w:rPr>
                <w:rFonts w:ascii="Arial" w:hAnsi="Arial" w:cs="Arial"/>
                <w:i/>
                <w:sz w:val="20"/>
              </w:rPr>
              <w:t>affirming</w:t>
            </w:r>
            <w:r w:rsidRPr="00D868C2">
              <w:rPr>
                <w:rFonts w:ascii="Arial" w:hAnsi="Arial" w:cs="Arial"/>
                <w:sz w:val="20"/>
              </w:rPr>
              <w:t xml:space="preserve"> (accepting) or </w:t>
            </w:r>
            <w:r w:rsidRPr="00D868C2">
              <w:rPr>
                <w:rFonts w:ascii="Arial" w:hAnsi="Arial" w:cs="Arial"/>
                <w:i/>
                <w:sz w:val="20"/>
              </w:rPr>
              <w:t>reversing</w:t>
            </w:r>
            <w:r w:rsidRPr="00D868C2">
              <w:rPr>
                <w:rFonts w:ascii="Arial" w:hAnsi="Arial" w:cs="Arial"/>
                <w:sz w:val="20"/>
              </w:rPr>
              <w:t xml:space="preserve"> (rejecting and setting aside) the judgment of the court below.  When reversing, the Justices will often </w:t>
            </w:r>
            <w:r w:rsidRPr="00D868C2">
              <w:rPr>
                <w:rFonts w:ascii="Arial" w:hAnsi="Arial" w:cs="Arial"/>
                <w:i/>
                <w:sz w:val="20"/>
              </w:rPr>
              <w:t>remand</w:t>
            </w:r>
            <w:r w:rsidRPr="00D868C2">
              <w:rPr>
                <w:rFonts w:ascii="Arial" w:hAnsi="Arial" w:cs="Arial"/>
                <w:sz w:val="20"/>
              </w:rPr>
              <w:t xml:space="preserve"> (send back) a case to the lower court for action “not inconsiste</w:t>
            </w:r>
            <w:r w:rsidR="0086630F">
              <w:rPr>
                <w:rFonts w:ascii="Arial" w:hAnsi="Arial" w:cs="Arial"/>
                <w:sz w:val="20"/>
              </w:rPr>
              <w:t>nt” with the Court’s decision.</w:t>
            </w:r>
          </w:p>
          <w:p w14:paraId="484CEAB7" w14:textId="77777777" w:rsidR="00A46257" w:rsidRPr="00D868C2" w:rsidRDefault="00A46257" w:rsidP="00A46257">
            <w:pPr>
              <w:rPr>
                <w:rFonts w:ascii="Arial" w:hAnsi="Arial" w:cs="Arial"/>
                <w:sz w:val="20"/>
              </w:rPr>
            </w:pPr>
          </w:p>
          <w:p w14:paraId="49D550C9" w14:textId="77777777" w:rsidR="00A46257" w:rsidRDefault="00A46257" w:rsidP="00A46257">
            <w:pPr>
              <w:rPr>
                <w:rFonts w:ascii="Arial" w:hAnsi="Arial" w:cs="Arial"/>
                <w:sz w:val="20"/>
              </w:rPr>
            </w:pPr>
            <w:r>
              <w:rPr>
                <w:rFonts w:ascii="Arial" w:hAnsi="Arial" w:cs="Arial"/>
                <w:sz w:val="20"/>
              </w:rPr>
              <w:t>5</w:t>
            </w:r>
            <w:r w:rsidRPr="00D868C2">
              <w:rPr>
                <w:rFonts w:ascii="Arial" w:hAnsi="Arial" w:cs="Arial"/>
                <w:sz w:val="20"/>
              </w:rPr>
              <w:t xml:space="preserve">. </w:t>
            </w:r>
            <w:r w:rsidRPr="00D868C2">
              <w:rPr>
                <w:rFonts w:ascii="Arial" w:hAnsi="Arial" w:cs="Arial"/>
                <w:i/>
                <w:sz w:val="20"/>
              </w:rPr>
              <w:t>Votes.</w:t>
            </w:r>
            <w:r w:rsidRPr="00D868C2">
              <w:rPr>
                <w:rFonts w:ascii="Arial" w:hAnsi="Arial" w:cs="Arial"/>
                <w:sz w:val="20"/>
              </w:rPr>
              <w:t xml:space="preserve">  The Supreme Court sits as a collegial body.  That is, all justices normally take part in each decision.  Awareness of the votes of individual justices may alert the reader to s</w:t>
            </w:r>
            <w:r>
              <w:rPr>
                <w:rFonts w:ascii="Arial" w:hAnsi="Arial" w:cs="Arial"/>
                <w:sz w:val="20"/>
              </w:rPr>
              <w:t>hifts in a justice’s position.</w:t>
            </w:r>
            <w:r w:rsidR="0086630F">
              <w:rPr>
                <w:rFonts w:ascii="Arial" w:hAnsi="Arial" w:cs="Arial"/>
                <w:sz w:val="20"/>
              </w:rPr>
              <w:t xml:space="preserve"> Justices do not write an opinion for every case; they instead join the opinions of their colleagues, which should be noted.</w:t>
            </w:r>
          </w:p>
          <w:p w14:paraId="178914DA" w14:textId="77777777" w:rsidR="00A46257" w:rsidRPr="00D868C2" w:rsidRDefault="00A46257" w:rsidP="00B0295F">
            <w:pPr>
              <w:rPr>
                <w:rFonts w:ascii="Arial" w:hAnsi="Arial" w:cs="Arial"/>
                <w:sz w:val="20"/>
              </w:rPr>
            </w:pPr>
          </w:p>
          <w:p w14:paraId="00F19CE8" w14:textId="77777777" w:rsidR="00B0295F" w:rsidRDefault="00A46257" w:rsidP="00B0295F">
            <w:pPr>
              <w:rPr>
                <w:rFonts w:ascii="Arial" w:hAnsi="Arial" w:cs="Arial"/>
                <w:sz w:val="20"/>
              </w:rPr>
            </w:pPr>
            <w:r>
              <w:rPr>
                <w:rFonts w:ascii="Arial" w:hAnsi="Arial" w:cs="Arial"/>
                <w:sz w:val="20"/>
              </w:rPr>
              <w:t>6</w:t>
            </w:r>
            <w:r w:rsidR="00B0295F" w:rsidRPr="00D868C2">
              <w:rPr>
                <w:rFonts w:ascii="Arial" w:hAnsi="Arial" w:cs="Arial"/>
                <w:sz w:val="20"/>
              </w:rPr>
              <w:t xml:space="preserve">. </w:t>
            </w:r>
            <w:r w:rsidR="00B0295F" w:rsidRPr="00D868C2">
              <w:rPr>
                <w:rFonts w:ascii="Arial" w:hAnsi="Arial" w:cs="Arial"/>
                <w:i/>
                <w:sz w:val="20"/>
              </w:rPr>
              <w:t>Reasoning of the Majority Opinion.</w:t>
            </w:r>
            <w:r w:rsidR="00B0295F" w:rsidRPr="00D868C2">
              <w:rPr>
                <w:rFonts w:ascii="Arial" w:hAnsi="Arial" w:cs="Arial"/>
                <w:sz w:val="20"/>
              </w:rPr>
              <w:t xml:space="preserve">  The goal of the Court’s decision making process is a statement reflecting the consensus of a majority of the Justices.  This statement is called the “majority opinion” or the “opinion of the Court.”  It explains why a certain question yields a certain answer.  In examining the majority opinion (as well as any dissenting or concurring opinions the case might contain) be alert to the use or presence of </w:t>
            </w:r>
            <w:r w:rsidR="006C6BF2">
              <w:rPr>
                <w:rFonts w:ascii="Arial" w:hAnsi="Arial" w:cs="Arial"/>
                <w:sz w:val="20"/>
              </w:rPr>
              <w:t xml:space="preserve">several different explanations of </w:t>
            </w:r>
            <w:r w:rsidR="00D205CB">
              <w:rPr>
                <w:rFonts w:ascii="Arial" w:hAnsi="Arial" w:cs="Arial"/>
                <w:sz w:val="20"/>
              </w:rPr>
              <w:t>judicial</w:t>
            </w:r>
            <w:r w:rsidR="006C6BF2">
              <w:rPr>
                <w:rFonts w:ascii="Arial" w:hAnsi="Arial" w:cs="Arial"/>
                <w:sz w:val="20"/>
              </w:rPr>
              <w:t xml:space="preserve"> decision-makin</w:t>
            </w:r>
            <w:r w:rsidR="00D205CB">
              <w:rPr>
                <w:rFonts w:ascii="Arial" w:hAnsi="Arial" w:cs="Arial"/>
                <w:sz w:val="20"/>
              </w:rPr>
              <w:t xml:space="preserve">g, as explained in the textbook. </w:t>
            </w:r>
            <w:r w:rsidR="00EC7A52">
              <w:rPr>
                <w:rFonts w:ascii="Arial" w:hAnsi="Arial" w:cs="Arial"/>
                <w:sz w:val="20"/>
              </w:rPr>
              <w:t>Also determine if the Court is using a particular standard of review or constitutional test when evaluating a particular government action. Finally, b</w:t>
            </w:r>
            <w:r w:rsidR="00D205CB">
              <w:rPr>
                <w:rFonts w:ascii="Arial" w:hAnsi="Arial" w:cs="Arial"/>
                <w:sz w:val="20"/>
              </w:rPr>
              <w:t>e sure to note how the opinion responds to the arguments presented by both the parties in the case as well as any novel analysis. Justices will also respond to their peers’ opinions, a useful means of contrasting opposing views.</w:t>
            </w:r>
          </w:p>
          <w:p w14:paraId="501D1C1D" w14:textId="77777777" w:rsidR="00B0295F" w:rsidRPr="00D868C2" w:rsidRDefault="00B0295F" w:rsidP="00B0295F">
            <w:pPr>
              <w:rPr>
                <w:rFonts w:ascii="Arial" w:hAnsi="Arial" w:cs="Arial"/>
                <w:sz w:val="20"/>
              </w:rPr>
            </w:pPr>
          </w:p>
          <w:p w14:paraId="60756469" w14:textId="77777777" w:rsidR="00B0295F" w:rsidRDefault="00A46257" w:rsidP="00B0295F">
            <w:pPr>
              <w:rPr>
                <w:rFonts w:ascii="Arial" w:hAnsi="Arial" w:cs="Arial"/>
                <w:sz w:val="20"/>
              </w:rPr>
            </w:pPr>
            <w:r>
              <w:rPr>
                <w:rFonts w:ascii="Arial" w:hAnsi="Arial" w:cs="Arial"/>
                <w:sz w:val="20"/>
              </w:rPr>
              <w:t>7</w:t>
            </w:r>
            <w:r w:rsidR="00B0295F" w:rsidRPr="00D868C2">
              <w:rPr>
                <w:rFonts w:ascii="Arial" w:hAnsi="Arial" w:cs="Arial"/>
                <w:sz w:val="20"/>
              </w:rPr>
              <w:t xml:space="preserve">. </w:t>
            </w:r>
            <w:r w:rsidR="00B0295F" w:rsidRPr="00D868C2">
              <w:rPr>
                <w:rFonts w:ascii="Arial" w:hAnsi="Arial" w:cs="Arial"/>
                <w:i/>
                <w:sz w:val="20"/>
              </w:rPr>
              <w:t>Reasoning of Separate Opinions.</w:t>
            </w:r>
            <w:r w:rsidR="00B0295F" w:rsidRPr="00D868C2">
              <w:rPr>
                <w:rFonts w:ascii="Arial" w:hAnsi="Arial" w:cs="Arial"/>
                <w:sz w:val="20"/>
              </w:rPr>
              <w:t xml:space="preserve">  Concurring and dissenting opinions should be examined closely because they may shed light on what has been decided.  Dissenting opinions highlight weaknesses in the majority’s reasoning and may emphasize facts not stressed in the majority opinion.  Concurring opinions may indicate the limits to a line of reasoning beyond which certain members of the majority are unwilling to go.</w:t>
            </w:r>
          </w:p>
          <w:p w14:paraId="3AD0FF3F" w14:textId="77777777" w:rsidR="000079EE" w:rsidRDefault="000079EE" w:rsidP="00B0295F">
            <w:pPr>
              <w:rPr>
                <w:rFonts w:ascii="Arial" w:hAnsi="Arial" w:cs="Arial"/>
                <w:sz w:val="20"/>
              </w:rPr>
            </w:pPr>
          </w:p>
          <w:p w14:paraId="1B4CB527" w14:textId="77777777" w:rsidR="000079EE" w:rsidRDefault="000079EE" w:rsidP="00B0295F">
            <w:pPr>
              <w:rPr>
                <w:rFonts w:ascii="Arial" w:hAnsi="Arial" w:cs="Arial"/>
                <w:sz w:val="20"/>
              </w:rPr>
            </w:pPr>
            <w:r>
              <w:rPr>
                <w:rFonts w:ascii="Arial" w:hAnsi="Arial" w:cs="Arial"/>
                <w:sz w:val="20"/>
              </w:rPr>
              <w:t xml:space="preserve">8. </w:t>
            </w:r>
            <w:r w:rsidRPr="00891D43">
              <w:rPr>
                <w:rFonts w:ascii="Arial" w:hAnsi="Arial" w:cs="Arial"/>
                <w:i/>
                <w:iCs/>
                <w:sz w:val="20"/>
              </w:rPr>
              <w:t>Legacy and Significance.</w:t>
            </w:r>
            <w:r>
              <w:rPr>
                <w:rFonts w:ascii="Arial" w:hAnsi="Arial" w:cs="Arial"/>
                <w:sz w:val="20"/>
              </w:rPr>
              <w:t xml:space="preserve"> Cases have important </w:t>
            </w:r>
            <w:r w:rsidR="00891D43">
              <w:rPr>
                <w:rFonts w:ascii="Arial" w:hAnsi="Arial" w:cs="Arial"/>
                <w:sz w:val="20"/>
              </w:rPr>
              <w:t xml:space="preserve">consequences on the political and legal debates </w:t>
            </w:r>
            <w:r w:rsidR="002F51A2">
              <w:rPr>
                <w:rFonts w:ascii="Arial" w:hAnsi="Arial" w:cs="Arial"/>
                <w:sz w:val="20"/>
              </w:rPr>
              <w:t>of the time</w:t>
            </w:r>
            <w:r>
              <w:rPr>
                <w:rFonts w:ascii="Arial" w:hAnsi="Arial" w:cs="Arial"/>
                <w:sz w:val="20"/>
              </w:rPr>
              <w:t xml:space="preserve">. </w:t>
            </w:r>
            <w:r w:rsidR="00891D43">
              <w:rPr>
                <w:rFonts w:ascii="Arial" w:hAnsi="Arial" w:cs="Arial"/>
                <w:sz w:val="20"/>
              </w:rPr>
              <w:t xml:space="preserve">Political consequences include the passage of new legislation in response to the case or invalidation of similar legislation. </w:t>
            </w:r>
            <w:r>
              <w:rPr>
                <w:rFonts w:ascii="Arial" w:hAnsi="Arial" w:cs="Arial"/>
                <w:sz w:val="20"/>
              </w:rPr>
              <w:t xml:space="preserve">Legal consequences include establishing or overturning precedent on a constitutional </w:t>
            </w:r>
            <w:r w:rsidR="002F51A2">
              <w:rPr>
                <w:rFonts w:ascii="Arial" w:hAnsi="Arial" w:cs="Arial"/>
                <w:sz w:val="20"/>
              </w:rPr>
              <w:t>issue</w:t>
            </w:r>
            <w:r w:rsidR="00891D43">
              <w:rPr>
                <w:rFonts w:ascii="Arial" w:hAnsi="Arial" w:cs="Arial"/>
                <w:sz w:val="20"/>
              </w:rPr>
              <w:t xml:space="preserve">. Even </w:t>
            </w:r>
            <w:r w:rsidR="002F51A2">
              <w:rPr>
                <w:rFonts w:ascii="Arial" w:hAnsi="Arial" w:cs="Arial"/>
                <w:sz w:val="20"/>
              </w:rPr>
              <w:t xml:space="preserve">proposed </w:t>
            </w:r>
            <w:r w:rsidR="00891D43">
              <w:rPr>
                <w:rFonts w:ascii="Arial" w:hAnsi="Arial" w:cs="Arial"/>
                <w:sz w:val="20"/>
              </w:rPr>
              <w:t>constitutional amendments can gain or lose traction due to case outcomes.</w:t>
            </w:r>
          </w:p>
          <w:p w14:paraId="07CC6858" w14:textId="063EF3D5" w:rsidR="007963E4" w:rsidRPr="00C2322F" w:rsidRDefault="007963E4" w:rsidP="00B0295F">
            <w:pPr>
              <w:rPr>
                <w:rFonts w:ascii="Arial" w:hAnsi="Arial" w:cs="Arial"/>
                <w:sz w:val="20"/>
              </w:rPr>
            </w:pPr>
            <w:r>
              <w:rPr>
                <w:rFonts w:ascii="Arial" w:hAnsi="Arial" w:cs="Arial"/>
                <w:sz w:val="20"/>
              </w:rPr>
              <w:lastRenderedPageBreak/>
              <w:t xml:space="preserve">9. </w:t>
            </w:r>
            <w:proofErr w:type="gramStart"/>
            <w:r>
              <w:rPr>
                <w:rFonts w:ascii="Arial" w:hAnsi="Arial" w:cs="Arial"/>
                <w:sz w:val="20"/>
              </w:rPr>
              <w:t>Personal Opinion</w:t>
            </w:r>
            <w:proofErr w:type="gramEnd"/>
            <w:r>
              <w:rPr>
                <w:rFonts w:ascii="Arial" w:hAnsi="Arial" w:cs="Arial"/>
                <w:sz w:val="20"/>
              </w:rPr>
              <w:t>. State how you would vote as a justice. Explain how you would answer the questions in the case and describe your legal rationale for doing so. Also discuss how you would vote, including which opinions you would join and whether you would file your own opinion.</w:t>
            </w:r>
          </w:p>
        </w:tc>
      </w:tr>
    </w:tbl>
    <w:p w14:paraId="1E51CE53" w14:textId="77777777" w:rsidR="000C6758" w:rsidRDefault="000C6758" w:rsidP="002F51A2"/>
    <w:sectPr w:rsidR="000C6758" w:rsidSect="000079EE">
      <w:footerReference w:type="default" r:id="rId13"/>
      <w:pgSz w:w="12240" w:h="15840" w:code="1"/>
      <w:pgMar w:top="1440" w:right="1080" w:bottom="1440" w:left="1080" w:header="432"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5FAD2" w14:textId="77777777" w:rsidR="00AC7D50" w:rsidRDefault="00AC7D50">
      <w:r>
        <w:separator/>
      </w:r>
    </w:p>
  </w:endnote>
  <w:endnote w:type="continuationSeparator" w:id="0">
    <w:p w14:paraId="421EBAB1" w14:textId="77777777" w:rsidR="00AC7D50" w:rsidRDefault="00AC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D1542" w14:textId="77777777" w:rsidR="008034F7" w:rsidRPr="009C05D2" w:rsidRDefault="008034F7">
    <w:pPr>
      <w:pStyle w:val="Footer"/>
      <w:rPr>
        <w:rFonts w:ascii="Arial" w:hAnsi="Arial"/>
        <w:sz w:val="16"/>
      </w:rPr>
    </w:pPr>
    <w:r w:rsidRPr="009C05D2">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3E74A" w14:textId="77777777" w:rsidR="00AC7D50" w:rsidRDefault="00AC7D50">
      <w:r>
        <w:separator/>
      </w:r>
    </w:p>
  </w:footnote>
  <w:footnote w:type="continuationSeparator" w:id="0">
    <w:p w14:paraId="13AE7D6E" w14:textId="77777777" w:rsidR="00AC7D50" w:rsidRDefault="00AC7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45D6F"/>
    <w:multiLevelType w:val="hybridMultilevel"/>
    <w:tmpl w:val="59F4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F0C76"/>
    <w:multiLevelType w:val="hybridMultilevel"/>
    <w:tmpl w:val="7DF0D9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6E69FA"/>
    <w:multiLevelType w:val="hybridMultilevel"/>
    <w:tmpl w:val="F202CF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D378B7"/>
    <w:multiLevelType w:val="hybridMultilevel"/>
    <w:tmpl w:val="A44A2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2E67F6"/>
    <w:multiLevelType w:val="multilevel"/>
    <w:tmpl w:val="320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3F"/>
    <w:rsid w:val="000049DD"/>
    <w:rsid w:val="000079EE"/>
    <w:rsid w:val="00012A9E"/>
    <w:rsid w:val="000463E9"/>
    <w:rsid w:val="00056138"/>
    <w:rsid w:val="00072F6D"/>
    <w:rsid w:val="00080E64"/>
    <w:rsid w:val="000C158F"/>
    <w:rsid w:val="000C6758"/>
    <w:rsid w:val="000D099A"/>
    <w:rsid w:val="000E4BD1"/>
    <w:rsid w:val="000E5A69"/>
    <w:rsid w:val="000E758D"/>
    <w:rsid w:val="00130F15"/>
    <w:rsid w:val="0013130F"/>
    <w:rsid w:val="0014238A"/>
    <w:rsid w:val="0014674F"/>
    <w:rsid w:val="0017759C"/>
    <w:rsid w:val="001825D8"/>
    <w:rsid w:val="00193C9B"/>
    <w:rsid w:val="00194365"/>
    <w:rsid w:val="001F36A8"/>
    <w:rsid w:val="00211D4D"/>
    <w:rsid w:val="0021589C"/>
    <w:rsid w:val="0023478A"/>
    <w:rsid w:val="002351C2"/>
    <w:rsid w:val="002457B1"/>
    <w:rsid w:val="002468DD"/>
    <w:rsid w:val="0025030F"/>
    <w:rsid w:val="00252E53"/>
    <w:rsid w:val="00255267"/>
    <w:rsid w:val="00256DE4"/>
    <w:rsid w:val="00280197"/>
    <w:rsid w:val="002C672A"/>
    <w:rsid w:val="002F51A2"/>
    <w:rsid w:val="0030321B"/>
    <w:rsid w:val="00305671"/>
    <w:rsid w:val="003213EF"/>
    <w:rsid w:val="0032782C"/>
    <w:rsid w:val="00355C07"/>
    <w:rsid w:val="00366889"/>
    <w:rsid w:val="00373F5C"/>
    <w:rsid w:val="00396748"/>
    <w:rsid w:val="003A394C"/>
    <w:rsid w:val="003D7214"/>
    <w:rsid w:val="003E7EC6"/>
    <w:rsid w:val="00426D21"/>
    <w:rsid w:val="00445816"/>
    <w:rsid w:val="00446560"/>
    <w:rsid w:val="00446EE1"/>
    <w:rsid w:val="00450627"/>
    <w:rsid w:val="004556FE"/>
    <w:rsid w:val="00464487"/>
    <w:rsid w:val="00465256"/>
    <w:rsid w:val="00485AB3"/>
    <w:rsid w:val="004B284C"/>
    <w:rsid w:val="004B40EB"/>
    <w:rsid w:val="004C179E"/>
    <w:rsid w:val="004D479E"/>
    <w:rsid w:val="004D5083"/>
    <w:rsid w:val="004E1A18"/>
    <w:rsid w:val="004E24A2"/>
    <w:rsid w:val="004E61E2"/>
    <w:rsid w:val="004F321B"/>
    <w:rsid w:val="004F57BA"/>
    <w:rsid w:val="004F609F"/>
    <w:rsid w:val="00505FDF"/>
    <w:rsid w:val="005066E8"/>
    <w:rsid w:val="00540D44"/>
    <w:rsid w:val="005562DE"/>
    <w:rsid w:val="005565CB"/>
    <w:rsid w:val="0056006B"/>
    <w:rsid w:val="00583DFF"/>
    <w:rsid w:val="00584878"/>
    <w:rsid w:val="005B71F0"/>
    <w:rsid w:val="006009D5"/>
    <w:rsid w:val="00604A83"/>
    <w:rsid w:val="00625AD0"/>
    <w:rsid w:val="00625DC6"/>
    <w:rsid w:val="00632965"/>
    <w:rsid w:val="006339E2"/>
    <w:rsid w:val="00641CE2"/>
    <w:rsid w:val="006437CD"/>
    <w:rsid w:val="00643C3F"/>
    <w:rsid w:val="00654087"/>
    <w:rsid w:val="00677979"/>
    <w:rsid w:val="00686D15"/>
    <w:rsid w:val="006A04F1"/>
    <w:rsid w:val="006A74A2"/>
    <w:rsid w:val="006C3FDA"/>
    <w:rsid w:val="006C67DC"/>
    <w:rsid w:val="006C6BF2"/>
    <w:rsid w:val="006D1634"/>
    <w:rsid w:val="006D7889"/>
    <w:rsid w:val="006E547C"/>
    <w:rsid w:val="006F1AEA"/>
    <w:rsid w:val="006F26D4"/>
    <w:rsid w:val="00717DC6"/>
    <w:rsid w:val="00754925"/>
    <w:rsid w:val="00755C54"/>
    <w:rsid w:val="00761C2D"/>
    <w:rsid w:val="00792355"/>
    <w:rsid w:val="00792C48"/>
    <w:rsid w:val="007963E4"/>
    <w:rsid w:val="007A75A7"/>
    <w:rsid w:val="007B7CF7"/>
    <w:rsid w:val="007C3BCB"/>
    <w:rsid w:val="007C7C3F"/>
    <w:rsid w:val="008034F7"/>
    <w:rsid w:val="00820590"/>
    <w:rsid w:val="008351FE"/>
    <w:rsid w:val="00835567"/>
    <w:rsid w:val="00846D53"/>
    <w:rsid w:val="0084774A"/>
    <w:rsid w:val="008478F4"/>
    <w:rsid w:val="0086630F"/>
    <w:rsid w:val="008834C4"/>
    <w:rsid w:val="00884395"/>
    <w:rsid w:val="00890093"/>
    <w:rsid w:val="00890346"/>
    <w:rsid w:val="00891D43"/>
    <w:rsid w:val="008A1ACD"/>
    <w:rsid w:val="008B0848"/>
    <w:rsid w:val="008B1E35"/>
    <w:rsid w:val="008C227A"/>
    <w:rsid w:val="008C6CBC"/>
    <w:rsid w:val="009219B4"/>
    <w:rsid w:val="00930662"/>
    <w:rsid w:val="00945EBD"/>
    <w:rsid w:val="009705B4"/>
    <w:rsid w:val="00975FAB"/>
    <w:rsid w:val="0098463D"/>
    <w:rsid w:val="00985571"/>
    <w:rsid w:val="009B2693"/>
    <w:rsid w:val="009D3C36"/>
    <w:rsid w:val="009D5167"/>
    <w:rsid w:val="009E7641"/>
    <w:rsid w:val="009F263F"/>
    <w:rsid w:val="00A16AB6"/>
    <w:rsid w:val="00A23D52"/>
    <w:rsid w:val="00A46257"/>
    <w:rsid w:val="00A65D99"/>
    <w:rsid w:val="00A73377"/>
    <w:rsid w:val="00A83152"/>
    <w:rsid w:val="00A90117"/>
    <w:rsid w:val="00A91C65"/>
    <w:rsid w:val="00AA7317"/>
    <w:rsid w:val="00AC548B"/>
    <w:rsid w:val="00AC7D50"/>
    <w:rsid w:val="00AE011D"/>
    <w:rsid w:val="00AE1CA2"/>
    <w:rsid w:val="00B013FB"/>
    <w:rsid w:val="00B0295F"/>
    <w:rsid w:val="00B10E1D"/>
    <w:rsid w:val="00B1776C"/>
    <w:rsid w:val="00B26D1E"/>
    <w:rsid w:val="00B40966"/>
    <w:rsid w:val="00B4474D"/>
    <w:rsid w:val="00B60CCC"/>
    <w:rsid w:val="00B86389"/>
    <w:rsid w:val="00B91F35"/>
    <w:rsid w:val="00B9330C"/>
    <w:rsid w:val="00B9408D"/>
    <w:rsid w:val="00BA131C"/>
    <w:rsid w:val="00BC3A05"/>
    <w:rsid w:val="00BD0806"/>
    <w:rsid w:val="00BD7CB2"/>
    <w:rsid w:val="00BE77BB"/>
    <w:rsid w:val="00BF2FDE"/>
    <w:rsid w:val="00C03BE6"/>
    <w:rsid w:val="00C2322F"/>
    <w:rsid w:val="00C327C8"/>
    <w:rsid w:val="00C35399"/>
    <w:rsid w:val="00C44D48"/>
    <w:rsid w:val="00C7320D"/>
    <w:rsid w:val="00C768FB"/>
    <w:rsid w:val="00C84012"/>
    <w:rsid w:val="00C96DB3"/>
    <w:rsid w:val="00CA0771"/>
    <w:rsid w:val="00CA52BA"/>
    <w:rsid w:val="00CB6754"/>
    <w:rsid w:val="00CB6B21"/>
    <w:rsid w:val="00CB762A"/>
    <w:rsid w:val="00CD566E"/>
    <w:rsid w:val="00CE463E"/>
    <w:rsid w:val="00CE6E0D"/>
    <w:rsid w:val="00CF247E"/>
    <w:rsid w:val="00D11161"/>
    <w:rsid w:val="00D1532C"/>
    <w:rsid w:val="00D205CB"/>
    <w:rsid w:val="00D47210"/>
    <w:rsid w:val="00D47813"/>
    <w:rsid w:val="00D52768"/>
    <w:rsid w:val="00D5503C"/>
    <w:rsid w:val="00D618E4"/>
    <w:rsid w:val="00D64EB5"/>
    <w:rsid w:val="00D6678E"/>
    <w:rsid w:val="00D71E80"/>
    <w:rsid w:val="00D76428"/>
    <w:rsid w:val="00D868C2"/>
    <w:rsid w:val="00D87ECF"/>
    <w:rsid w:val="00D91E66"/>
    <w:rsid w:val="00DE078E"/>
    <w:rsid w:val="00DF3C0A"/>
    <w:rsid w:val="00DF49AC"/>
    <w:rsid w:val="00DF534B"/>
    <w:rsid w:val="00E1333D"/>
    <w:rsid w:val="00E47081"/>
    <w:rsid w:val="00E75B75"/>
    <w:rsid w:val="00E80FD8"/>
    <w:rsid w:val="00E912A6"/>
    <w:rsid w:val="00E95626"/>
    <w:rsid w:val="00EA6FFA"/>
    <w:rsid w:val="00EB3D57"/>
    <w:rsid w:val="00EC7A52"/>
    <w:rsid w:val="00ED0043"/>
    <w:rsid w:val="00EF5660"/>
    <w:rsid w:val="00F06BE8"/>
    <w:rsid w:val="00F207A9"/>
    <w:rsid w:val="00F415AC"/>
    <w:rsid w:val="00F53618"/>
    <w:rsid w:val="00F737B7"/>
    <w:rsid w:val="00F74ED4"/>
    <w:rsid w:val="00F81432"/>
    <w:rsid w:val="00FC6270"/>
    <w:rsid w:val="00FD0603"/>
    <w:rsid w:val="00FE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AAB9E2"/>
  <w15:chartTrackingRefBased/>
  <w15:docId w15:val="{8A3FB710-DD72-4BFA-8A33-B684365D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05D2"/>
    <w:rPr>
      <w:color w:val="0000FF"/>
      <w:u w:val="single"/>
    </w:rPr>
  </w:style>
  <w:style w:type="paragraph" w:styleId="Header">
    <w:name w:val="header"/>
    <w:basedOn w:val="Normal"/>
    <w:rsid w:val="009C05D2"/>
    <w:pPr>
      <w:tabs>
        <w:tab w:val="center" w:pos="4320"/>
        <w:tab w:val="right" w:pos="8640"/>
      </w:tabs>
    </w:pPr>
  </w:style>
  <w:style w:type="paragraph" w:styleId="Footer">
    <w:name w:val="footer"/>
    <w:basedOn w:val="Normal"/>
    <w:semiHidden/>
    <w:rsid w:val="009C05D2"/>
    <w:pPr>
      <w:tabs>
        <w:tab w:val="center" w:pos="4320"/>
        <w:tab w:val="right" w:pos="8640"/>
      </w:tabs>
    </w:pPr>
  </w:style>
  <w:style w:type="character" w:styleId="PageNumber">
    <w:name w:val="page number"/>
    <w:basedOn w:val="DefaultParagraphFont"/>
    <w:rsid w:val="009C05D2"/>
  </w:style>
  <w:style w:type="character" w:styleId="FollowedHyperlink">
    <w:name w:val="FollowedHyperlink"/>
    <w:rsid w:val="009C05D2"/>
    <w:rPr>
      <w:color w:val="800080"/>
      <w:u w:val="single"/>
    </w:rPr>
  </w:style>
  <w:style w:type="paragraph" w:styleId="ListParagraph">
    <w:name w:val="List Paragraph"/>
    <w:basedOn w:val="Normal"/>
    <w:uiPriority w:val="34"/>
    <w:qFormat/>
    <w:rsid w:val="00FE5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289940">
      <w:bodyDiv w:val="1"/>
      <w:marLeft w:val="0"/>
      <w:marRight w:val="0"/>
      <w:marTop w:val="0"/>
      <w:marBottom w:val="0"/>
      <w:divBdr>
        <w:top w:val="none" w:sz="0" w:space="0" w:color="auto"/>
        <w:left w:val="none" w:sz="0" w:space="0" w:color="auto"/>
        <w:bottom w:val="none" w:sz="0" w:space="0" w:color="auto"/>
        <w:right w:val="none" w:sz="0" w:space="0" w:color="auto"/>
      </w:divBdr>
    </w:div>
    <w:div w:id="12727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o.uga.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rc.ug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hs.uga.edu/bewelluga/bewellug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hs.uga.edu/info/emergencies" TargetMode="External"/><Relationship Id="rId4" Type="http://schemas.openxmlformats.org/officeDocument/2006/relationships/webSettings" Target="webSettings.xml"/><Relationship Id="rId9" Type="http://schemas.openxmlformats.org/officeDocument/2006/relationships/hyperlink" Target="https://www.uhs.uga.edu/bewelluga/bewellug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7</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TAMU</Company>
  <LinksUpToDate>false</LinksUpToDate>
  <CharactersWithSpaces>18910</CharactersWithSpaces>
  <SharedDoc>false</SharedDoc>
  <HLinks>
    <vt:vector size="12" baseType="variant">
      <vt:variant>
        <vt:i4>6422560</vt:i4>
      </vt:variant>
      <vt:variant>
        <vt:i4>3</vt:i4>
      </vt:variant>
      <vt:variant>
        <vt:i4>0</vt:i4>
      </vt:variant>
      <vt:variant>
        <vt:i4>5</vt:i4>
      </vt:variant>
      <vt:variant>
        <vt:lpwstr>http://aggiehonor.tamu.edu/</vt:lpwstr>
      </vt:variant>
      <vt:variant>
        <vt:lpwstr/>
      </vt:variant>
      <vt:variant>
        <vt:i4>7077931</vt:i4>
      </vt:variant>
      <vt:variant>
        <vt:i4>0</vt:i4>
      </vt:variant>
      <vt:variant>
        <vt:i4>0</vt:i4>
      </vt:variant>
      <vt:variant>
        <vt:i4>5</vt:i4>
      </vt:variant>
      <vt:variant>
        <vt:lpwstr>http://disability.tamu.edu/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 Williams</dc:creator>
  <cp:keywords/>
  <cp:lastModifiedBy>Garrett N Vande Kamp</cp:lastModifiedBy>
  <cp:revision>12</cp:revision>
  <cp:lastPrinted>2019-01-14T17:04:00Z</cp:lastPrinted>
  <dcterms:created xsi:type="dcterms:W3CDTF">2020-11-16T22:00:00Z</dcterms:created>
  <dcterms:modified xsi:type="dcterms:W3CDTF">2021-01-08T16:48:00Z</dcterms:modified>
</cp:coreProperties>
</file>