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0" w:type="dxa"/>
        <w:tblLayout w:type="fixed"/>
        <w:tblLook w:val="00A0" w:firstRow="1" w:lastRow="0" w:firstColumn="1" w:lastColumn="0" w:noHBand="0" w:noVBand="0"/>
      </w:tblPr>
      <w:tblGrid>
        <w:gridCol w:w="2870"/>
        <w:gridCol w:w="630"/>
        <w:gridCol w:w="1620"/>
        <w:gridCol w:w="50"/>
        <w:gridCol w:w="5170"/>
      </w:tblGrid>
      <w:tr w:rsidR="0017759C" w:rsidTr="00D76428">
        <w:tc>
          <w:tcPr>
            <w:tcW w:w="5120" w:type="dxa"/>
            <w:gridSpan w:val="3"/>
            <w:shd w:val="clear" w:color="auto" w:fill="auto"/>
          </w:tcPr>
          <w:p w:rsidR="0017759C" w:rsidRDefault="00320701" w:rsidP="00320701">
            <w:pPr>
              <w:jc w:val="center"/>
            </w:pPr>
            <w:r>
              <w:rPr>
                <w:noProof/>
              </w:rPr>
              <w:drawing>
                <wp:inline distT="0" distB="0" distL="0" distR="0">
                  <wp:extent cx="2143125" cy="70053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IA-FS-2CB-768x25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7873" cy="711895"/>
                          </a:xfrm>
                          <a:prstGeom prst="rect">
                            <a:avLst/>
                          </a:prstGeom>
                        </pic:spPr>
                      </pic:pic>
                    </a:graphicData>
                  </a:graphic>
                </wp:inline>
              </w:drawing>
            </w:r>
          </w:p>
        </w:tc>
        <w:tc>
          <w:tcPr>
            <w:tcW w:w="5220" w:type="dxa"/>
            <w:gridSpan w:val="2"/>
            <w:shd w:val="clear" w:color="auto" w:fill="auto"/>
            <w:vAlign w:val="center"/>
          </w:tcPr>
          <w:p w:rsidR="0017759C" w:rsidRPr="00C2322F" w:rsidRDefault="0017759C" w:rsidP="00C2322F">
            <w:pPr>
              <w:jc w:val="center"/>
              <w:rPr>
                <w:sz w:val="52"/>
              </w:rPr>
            </w:pPr>
            <w:r w:rsidRPr="00C2322F">
              <w:rPr>
                <w:sz w:val="52"/>
              </w:rPr>
              <w:t>SYLLABUS</w:t>
            </w:r>
          </w:p>
        </w:tc>
      </w:tr>
      <w:tr w:rsidR="0017759C" w:rsidRPr="00C2322F" w:rsidTr="00D76428">
        <w:tc>
          <w:tcPr>
            <w:tcW w:w="10340" w:type="dxa"/>
            <w:gridSpan w:val="5"/>
            <w:shd w:val="pct90" w:color="auto" w:fill="auto"/>
          </w:tcPr>
          <w:p w:rsidR="0017759C" w:rsidRPr="00C2322F" w:rsidRDefault="0017759C">
            <w:pPr>
              <w:rPr>
                <w:sz w:val="10"/>
              </w:rPr>
            </w:pPr>
          </w:p>
        </w:tc>
      </w:tr>
      <w:tr w:rsidR="00396748" w:rsidRPr="00C2322F" w:rsidTr="00D76428">
        <w:tc>
          <w:tcPr>
            <w:tcW w:w="10340" w:type="dxa"/>
            <w:gridSpan w:val="5"/>
            <w:shd w:val="clear" w:color="auto" w:fill="auto"/>
          </w:tcPr>
          <w:p w:rsidR="00396748" w:rsidRPr="00C2322F" w:rsidRDefault="00396748" w:rsidP="006F1AEA">
            <w:pPr>
              <w:rPr>
                <w:sz w:val="20"/>
              </w:rPr>
            </w:pPr>
          </w:p>
        </w:tc>
      </w:tr>
      <w:tr w:rsidR="0017759C" w:rsidRPr="00C2322F" w:rsidTr="00D76428">
        <w:trPr>
          <w:trHeight w:val="89"/>
        </w:trPr>
        <w:tc>
          <w:tcPr>
            <w:tcW w:w="10340" w:type="dxa"/>
            <w:gridSpan w:val="5"/>
            <w:shd w:val="clear" w:color="auto" w:fill="auto"/>
          </w:tcPr>
          <w:p w:rsidR="0017759C" w:rsidRPr="00C2322F" w:rsidRDefault="0017759C">
            <w:pPr>
              <w:rPr>
                <w:sz w:val="10"/>
              </w:rPr>
            </w:pPr>
          </w:p>
        </w:tc>
      </w:tr>
      <w:tr w:rsidR="0017759C" w:rsidTr="00D76428">
        <w:trPr>
          <w:trHeight w:val="288"/>
        </w:trPr>
        <w:tc>
          <w:tcPr>
            <w:tcW w:w="3500" w:type="dxa"/>
            <w:gridSpan w:val="2"/>
            <w:shd w:val="clear" w:color="auto" w:fill="auto"/>
            <w:vAlign w:val="center"/>
          </w:tcPr>
          <w:p w:rsidR="0017759C" w:rsidRPr="00C2322F" w:rsidRDefault="00320701" w:rsidP="0017759C">
            <w:pPr>
              <w:rPr>
                <w:rFonts w:ascii="Arial" w:hAnsi="Arial" w:cs="Arial"/>
                <w:sz w:val="20"/>
              </w:rPr>
            </w:pPr>
            <w:r>
              <w:rPr>
                <w:rFonts w:ascii="Arial" w:hAnsi="Arial" w:cs="Arial"/>
                <w:sz w:val="20"/>
              </w:rPr>
              <w:t>POLS 8500</w:t>
            </w:r>
          </w:p>
        </w:tc>
        <w:tc>
          <w:tcPr>
            <w:tcW w:w="6840" w:type="dxa"/>
            <w:gridSpan w:val="3"/>
            <w:shd w:val="clear" w:color="auto" w:fill="auto"/>
            <w:vAlign w:val="center"/>
          </w:tcPr>
          <w:p w:rsidR="0017759C" w:rsidRPr="00C2322F" w:rsidRDefault="00AA0A6A" w:rsidP="00445816">
            <w:pPr>
              <w:jc w:val="right"/>
              <w:rPr>
                <w:rFonts w:ascii="Arial" w:hAnsi="Arial" w:cs="Arial"/>
                <w:sz w:val="20"/>
              </w:rPr>
            </w:pPr>
            <w:r w:rsidRPr="00AA0A6A">
              <w:rPr>
                <w:rFonts w:ascii="Arial" w:hAnsi="Arial" w:cs="Arial"/>
                <w:sz w:val="20"/>
              </w:rPr>
              <w:t>Spe</w:t>
            </w:r>
            <w:r>
              <w:rPr>
                <w:rFonts w:ascii="Arial" w:hAnsi="Arial" w:cs="Arial"/>
                <w:sz w:val="20"/>
              </w:rPr>
              <w:t>cial Topics in Research Methods</w:t>
            </w:r>
          </w:p>
        </w:tc>
      </w:tr>
      <w:tr w:rsidR="0017759C" w:rsidTr="00D76428">
        <w:trPr>
          <w:trHeight w:val="288"/>
        </w:trPr>
        <w:tc>
          <w:tcPr>
            <w:tcW w:w="3500" w:type="dxa"/>
            <w:gridSpan w:val="2"/>
            <w:shd w:val="clear" w:color="auto" w:fill="auto"/>
            <w:vAlign w:val="center"/>
          </w:tcPr>
          <w:p w:rsidR="0017759C" w:rsidRPr="00C2322F" w:rsidRDefault="00220C47" w:rsidP="00320701">
            <w:pPr>
              <w:rPr>
                <w:rFonts w:ascii="Arial" w:hAnsi="Arial" w:cs="Arial"/>
                <w:sz w:val="20"/>
              </w:rPr>
            </w:pPr>
            <w:r>
              <w:rPr>
                <w:rFonts w:ascii="Arial" w:hAnsi="Arial" w:cs="Arial"/>
                <w:sz w:val="20"/>
              </w:rPr>
              <w:t>Fall</w:t>
            </w:r>
            <w:r w:rsidR="000463E9">
              <w:rPr>
                <w:rFonts w:ascii="Arial" w:hAnsi="Arial" w:cs="Arial"/>
                <w:sz w:val="20"/>
              </w:rPr>
              <w:t xml:space="preserve"> </w:t>
            </w:r>
            <w:r w:rsidR="00320701">
              <w:rPr>
                <w:rFonts w:ascii="Arial" w:hAnsi="Arial" w:cs="Arial"/>
                <w:sz w:val="20"/>
              </w:rPr>
              <w:t>2020</w:t>
            </w:r>
          </w:p>
        </w:tc>
        <w:tc>
          <w:tcPr>
            <w:tcW w:w="6840" w:type="dxa"/>
            <w:gridSpan w:val="3"/>
            <w:shd w:val="clear" w:color="auto" w:fill="auto"/>
          </w:tcPr>
          <w:p w:rsidR="0017759C" w:rsidRPr="00C2322F" w:rsidRDefault="00320701" w:rsidP="000463E9">
            <w:pPr>
              <w:jc w:val="right"/>
              <w:rPr>
                <w:rFonts w:ascii="Arial" w:hAnsi="Arial" w:cs="Arial"/>
                <w:sz w:val="20"/>
              </w:rPr>
            </w:pPr>
            <w:r>
              <w:rPr>
                <w:rFonts w:ascii="Arial" w:hAnsi="Arial" w:cs="Arial"/>
                <w:sz w:val="20"/>
              </w:rPr>
              <w:t>Modelling Dependence in Time and Space</w:t>
            </w:r>
          </w:p>
        </w:tc>
      </w:tr>
      <w:tr w:rsidR="0017759C" w:rsidTr="00D76428">
        <w:trPr>
          <w:trHeight w:val="288"/>
        </w:trPr>
        <w:tc>
          <w:tcPr>
            <w:tcW w:w="3500" w:type="dxa"/>
            <w:gridSpan w:val="2"/>
            <w:shd w:val="clear" w:color="auto" w:fill="auto"/>
            <w:vAlign w:val="center"/>
          </w:tcPr>
          <w:p w:rsidR="0017759C" w:rsidRPr="00C2322F" w:rsidRDefault="00DB1BBA" w:rsidP="00320701">
            <w:pPr>
              <w:rPr>
                <w:rFonts w:ascii="Arial" w:hAnsi="Arial" w:cs="Arial"/>
                <w:sz w:val="20"/>
              </w:rPr>
            </w:pPr>
            <w:r>
              <w:rPr>
                <w:rFonts w:ascii="Arial" w:hAnsi="Arial" w:cs="Arial"/>
                <w:sz w:val="20"/>
              </w:rPr>
              <w:t>Baldwin 102</w:t>
            </w:r>
          </w:p>
        </w:tc>
        <w:tc>
          <w:tcPr>
            <w:tcW w:w="6840" w:type="dxa"/>
            <w:gridSpan w:val="3"/>
            <w:shd w:val="clear" w:color="auto" w:fill="auto"/>
          </w:tcPr>
          <w:p w:rsidR="0017759C" w:rsidRPr="00C2322F" w:rsidRDefault="00320701" w:rsidP="00AA0A6A">
            <w:pPr>
              <w:jc w:val="right"/>
              <w:rPr>
                <w:rFonts w:ascii="Arial" w:hAnsi="Arial" w:cs="Arial"/>
                <w:sz w:val="20"/>
              </w:rPr>
            </w:pPr>
            <w:r>
              <w:rPr>
                <w:rFonts w:ascii="Arial" w:hAnsi="Arial" w:cs="Arial"/>
                <w:sz w:val="20"/>
              </w:rPr>
              <w:t xml:space="preserve">Monday, </w:t>
            </w:r>
            <w:r w:rsidR="00AA0A6A">
              <w:rPr>
                <w:rFonts w:ascii="Arial" w:hAnsi="Arial" w:cs="Arial"/>
                <w:sz w:val="20"/>
              </w:rPr>
              <w:t>6:30-9:15</w:t>
            </w:r>
          </w:p>
        </w:tc>
      </w:tr>
      <w:tr w:rsidR="00396748" w:rsidRPr="00C2322F" w:rsidTr="00D76428">
        <w:tc>
          <w:tcPr>
            <w:tcW w:w="10340" w:type="dxa"/>
            <w:gridSpan w:val="5"/>
            <w:shd w:val="clear" w:color="auto" w:fill="auto"/>
          </w:tcPr>
          <w:p w:rsidR="00396748" w:rsidRPr="00C2322F" w:rsidRDefault="00396748" w:rsidP="006F1AEA">
            <w:pPr>
              <w:rPr>
                <w:rFonts w:ascii="Arial" w:hAnsi="Arial" w:cs="Arial"/>
                <w:sz w:val="20"/>
              </w:rPr>
            </w:pPr>
          </w:p>
        </w:tc>
      </w:tr>
      <w:tr w:rsidR="006A74A2" w:rsidRPr="00C2322F" w:rsidTr="00D76428">
        <w:tc>
          <w:tcPr>
            <w:tcW w:w="10340" w:type="dxa"/>
            <w:gridSpan w:val="5"/>
            <w:shd w:val="clear" w:color="auto" w:fill="auto"/>
            <w:vAlign w:val="center"/>
          </w:tcPr>
          <w:p w:rsidR="006A74A2" w:rsidRPr="00C2322F" w:rsidRDefault="006A74A2" w:rsidP="00C2322F">
            <w:pPr>
              <w:jc w:val="center"/>
              <w:rPr>
                <w:rFonts w:ascii="Arial" w:hAnsi="Arial" w:cs="Arial"/>
                <w:b/>
                <w:sz w:val="20"/>
              </w:rPr>
            </w:pPr>
            <w:r w:rsidRPr="00C2322F">
              <w:rPr>
                <w:rFonts w:ascii="Arial" w:hAnsi="Arial" w:cs="Arial"/>
                <w:b/>
                <w:sz w:val="20"/>
              </w:rPr>
              <w:t>Course Description and Prerequisites</w:t>
            </w:r>
          </w:p>
        </w:tc>
      </w:tr>
      <w:tr w:rsidR="006A74A2" w:rsidRPr="00C2322F" w:rsidTr="00D76428">
        <w:trPr>
          <w:trHeight w:val="89"/>
        </w:trPr>
        <w:tc>
          <w:tcPr>
            <w:tcW w:w="10340" w:type="dxa"/>
            <w:gridSpan w:val="5"/>
            <w:shd w:val="clear" w:color="auto" w:fill="auto"/>
          </w:tcPr>
          <w:p w:rsidR="006A74A2" w:rsidRPr="00C2322F" w:rsidRDefault="006A74A2" w:rsidP="006F1AEA">
            <w:pPr>
              <w:rPr>
                <w:rFonts w:ascii="Arial" w:hAnsi="Arial" w:cs="Arial"/>
                <w:sz w:val="10"/>
              </w:rPr>
            </w:pPr>
          </w:p>
        </w:tc>
      </w:tr>
      <w:tr w:rsidR="006A74A2" w:rsidRPr="00C2322F" w:rsidTr="00D76428">
        <w:tc>
          <w:tcPr>
            <w:tcW w:w="10340" w:type="dxa"/>
            <w:gridSpan w:val="5"/>
            <w:shd w:val="clear" w:color="auto" w:fill="auto"/>
          </w:tcPr>
          <w:p w:rsidR="008C6CBC" w:rsidRPr="00C2322F" w:rsidRDefault="00220C47" w:rsidP="009F263F">
            <w:pPr>
              <w:rPr>
                <w:rFonts w:ascii="Arial" w:hAnsi="Arial" w:cs="Arial"/>
                <w:sz w:val="20"/>
                <w:szCs w:val="20"/>
              </w:rPr>
            </w:pPr>
            <w:r w:rsidRPr="00220C47">
              <w:rPr>
                <w:rFonts w:ascii="Arial" w:hAnsi="Arial" w:cs="Arial"/>
                <w:sz w:val="20"/>
                <w:szCs w:val="20"/>
                <w:lang w:val="en"/>
              </w:rPr>
              <w:t>Introduction to the common methods for social and policy analysis with a focus on application of methods such as analysis of variance and regression, to tasks including policy analysis, evaluation and survey research; emphasis on the performance of social and policy analysis, although some statistical theory is introduced.</w:t>
            </w:r>
            <w:r w:rsidR="00D76428" w:rsidRPr="00D76428">
              <w:rPr>
                <w:rFonts w:ascii="Arial" w:hAnsi="Arial" w:cs="Arial"/>
                <w:sz w:val="20"/>
                <w:szCs w:val="20"/>
                <w:lang w:val="en"/>
              </w:rPr>
              <w:br/>
            </w:r>
            <w:r w:rsidR="00D76428" w:rsidRPr="00D76428">
              <w:rPr>
                <w:rFonts w:ascii="Arial" w:hAnsi="Arial" w:cs="Arial"/>
                <w:b/>
                <w:bCs/>
                <w:sz w:val="20"/>
                <w:szCs w:val="20"/>
                <w:lang w:val="en"/>
              </w:rPr>
              <w:t>Prerequisites:</w:t>
            </w:r>
            <w:r w:rsidR="00D76428" w:rsidRPr="00D76428">
              <w:rPr>
                <w:rFonts w:ascii="Arial" w:hAnsi="Arial" w:cs="Arial"/>
                <w:sz w:val="20"/>
                <w:szCs w:val="20"/>
                <w:lang w:val="en"/>
              </w:rPr>
              <w:t xml:space="preserve"> </w:t>
            </w:r>
            <w:r w:rsidRPr="00220C47">
              <w:rPr>
                <w:rFonts w:ascii="Arial" w:hAnsi="Arial" w:cs="Arial"/>
                <w:sz w:val="20"/>
                <w:szCs w:val="20"/>
                <w:lang w:val="en"/>
              </w:rPr>
              <w:t>Graduate classification and approval of MPSA or MPIA director; STAT 303 or equivalent.</w:t>
            </w:r>
          </w:p>
        </w:tc>
      </w:tr>
      <w:tr w:rsidR="006A74A2" w:rsidRPr="00C2322F" w:rsidTr="00D76428">
        <w:tc>
          <w:tcPr>
            <w:tcW w:w="10340" w:type="dxa"/>
            <w:gridSpan w:val="5"/>
            <w:shd w:val="clear" w:color="auto" w:fill="auto"/>
          </w:tcPr>
          <w:p w:rsidR="006A74A2" w:rsidRPr="00C2322F" w:rsidRDefault="006A74A2" w:rsidP="006F1AEA">
            <w:pPr>
              <w:rPr>
                <w:rFonts w:ascii="Arial" w:hAnsi="Arial" w:cs="Arial"/>
                <w:sz w:val="20"/>
              </w:rPr>
            </w:pPr>
          </w:p>
        </w:tc>
      </w:tr>
      <w:tr w:rsidR="006A74A2" w:rsidRPr="00C2322F" w:rsidTr="00D76428">
        <w:tc>
          <w:tcPr>
            <w:tcW w:w="10340" w:type="dxa"/>
            <w:gridSpan w:val="5"/>
            <w:shd w:val="clear" w:color="auto" w:fill="auto"/>
            <w:vAlign w:val="center"/>
          </w:tcPr>
          <w:p w:rsidR="006A74A2" w:rsidRPr="00C2322F" w:rsidRDefault="006A74A2" w:rsidP="00C2322F">
            <w:pPr>
              <w:jc w:val="center"/>
              <w:rPr>
                <w:rFonts w:ascii="Arial" w:hAnsi="Arial" w:cs="Arial"/>
                <w:b/>
                <w:sz w:val="20"/>
              </w:rPr>
            </w:pPr>
            <w:r w:rsidRPr="00C2322F">
              <w:rPr>
                <w:rFonts w:ascii="Arial" w:hAnsi="Arial" w:cs="Arial"/>
                <w:b/>
                <w:sz w:val="20"/>
              </w:rPr>
              <w:t>Learning Outcomes</w:t>
            </w:r>
            <w:r w:rsidR="00846D53" w:rsidRPr="00C2322F">
              <w:rPr>
                <w:rFonts w:ascii="Arial" w:hAnsi="Arial" w:cs="Arial"/>
                <w:b/>
                <w:sz w:val="20"/>
              </w:rPr>
              <w:t xml:space="preserve"> or Course Objectives</w:t>
            </w:r>
          </w:p>
        </w:tc>
      </w:tr>
      <w:tr w:rsidR="006A74A2" w:rsidRPr="00C2322F" w:rsidTr="00D76428">
        <w:trPr>
          <w:trHeight w:val="89"/>
        </w:trPr>
        <w:tc>
          <w:tcPr>
            <w:tcW w:w="10340" w:type="dxa"/>
            <w:gridSpan w:val="5"/>
            <w:shd w:val="clear" w:color="auto" w:fill="auto"/>
          </w:tcPr>
          <w:p w:rsidR="006A74A2" w:rsidRPr="00C2322F" w:rsidRDefault="006A74A2" w:rsidP="006F1AEA">
            <w:pPr>
              <w:rPr>
                <w:rFonts w:ascii="Arial" w:hAnsi="Arial" w:cs="Arial"/>
                <w:sz w:val="10"/>
              </w:rPr>
            </w:pPr>
          </w:p>
        </w:tc>
      </w:tr>
      <w:tr w:rsidR="006A74A2" w:rsidRPr="00C2322F" w:rsidTr="00D76428">
        <w:tc>
          <w:tcPr>
            <w:tcW w:w="10340" w:type="dxa"/>
            <w:gridSpan w:val="5"/>
            <w:shd w:val="clear" w:color="auto" w:fill="auto"/>
          </w:tcPr>
          <w:p w:rsidR="00632965" w:rsidRDefault="00632965" w:rsidP="006F1AEA">
            <w:pPr>
              <w:rPr>
                <w:rFonts w:ascii="Arial" w:hAnsi="Arial" w:cs="Arial"/>
                <w:sz w:val="20"/>
              </w:rPr>
            </w:pPr>
            <w:r>
              <w:rPr>
                <w:rFonts w:ascii="Arial" w:hAnsi="Arial" w:cs="Arial"/>
                <w:sz w:val="20"/>
              </w:rPr>
              <w:t>Students will be able to:</w:t>
            </w:r>
          </w:p>
          <w:p w:rsidR="00632965" w:rsidRDefault="00320701" w:rsidP="006F1AEA">
            <w:pPr>
              <w:rPr>
                <w:rFonts w:ascii="Arial" w:hAnsi="Arial" w:cs="Arial"/>
                <w:sz w:val="20"/>
              </w:rPr>
            </w:pPr>
            <w:r>
              <w:rPr>
                <w:rFonts w:ascii="Arial" w:hAnsi="Arial" w:cs="Arial"/>
                <w:sz w:val="20"/>
              </w:rPr>
              <w:t>Diagnose autocorrelation in time series, cross-sectional, and time-series cross-sectional data</w:t>
            </w:r>
          </w:p>
          <w:p w:rsidR="006A74A2" w:rsidRDefault="00320701" w:rsidP="00445816">
            <w:pPr>
              <w:rPr>
                <w:rFonts w:ascii="Arial" w:hAnsi="Arial" w:cs="Arial"/>
                <w:sz w:val="20"/>
              </w:rPr>
            </w:pPr>
            <w:r>
              <w:rPr>
                <w:rFonts w:ascii="Arial" w:hAnsi="Arial" w:cs="Arial"/>
                <w:sz w:val="20"/>
              </w:rPr>
              <w:t xml:space="preserve">Model and interpret </w:t>
            </w:r>
            <w:r w:rsidR="003D55EC">
              <w:rPr>
                <w:rFonts w:ascii="Arial" w:hAnsi="Arial" w:cs="Arial"/>
                <w:sz w:val="20"/>
              </w:rPr>
              <w:t>dependence structures in this data</w:t>
            </w:r>
          </w:p>
          <w:p w:rsidR="00632965" w:rsidRPr="00C2322F" w:rsidRDefault="003D55EC" w:rsidP="004C0D41">
            <w:pPr>
              <w:rPr>
                <w:rFonts w:ascii="Arial" w:hAnsi="Arial" w:cs="Arial"/>
                <w:sz w:val="20"/>
              </w:rPr>
            </w:pPr>
            <w:r>
              <w:rPr>
                <w:rFonts w:ascii="Arial" w:hAnsi="Arial" w:cs="Arial"/>
                <w:sz w:val="20"/>
              </w:rPr>
              <w:t>Engage in the subfield’s latest methodological debates over modelling dependence</w:t>
            </w:r>
            <w:r w:rsidR="00A25AF0">
              <w:rPr>
                <w:rFonts w:ascii="Arial" w:hAnsi="Arial" w:cs="Arial"/>
                <w:sz w:val="20"/>
              </w:rPr>
              <w:t xml:space="preserve"> </w:t>
            </w:r>
          </w:p>
        </w:tc>
      </w:tr>
      <w:tr w:rsidR="008C6CBC" w:rsidRPr="00C2322F" w:rsidTr="00D76428">
        <w:tc>
          <w:tcPr>
            <w:tcW w:w="10340" w:type="dxa"/>
            <w:gridSpan w:val="5"/>
            <w:shd w:val="clear" w:color="auto" w:fill="auto"/>
          </w:tcPr>
          <w:p w:rsidR="008C6CBC" w:rsidRPr="00C2322F" w:rsidRDefault="008C6CBC" w:rsidP="00DF49AC">
            <w:pPr>
              <w:rPr>
                <w:rFonts w:ascii="Arial" w:hAnsi="Arial" w:cs="Arial"/>
                <w:sz w:val="20"/>
              </w:rPr>
            </w:pPr>
          </w:p>
        </w:tc>
      </w:tr>
      <w:tr w:rsidR="0017759C" w:rsidRPr="00C2322F" w:rsidTr="00D76428">
        <w:tc>
          <w:tcPr>
            <w:tcW w:w="10340" w:type="dxa"/>
            <w:gridSpan w:val="5"/>
            <w:shd w:val="clear" w:color="auto" w:fill="auto"/>
            <w:vAlign w:val="center"/>
          </w:tcPr>
          <w:p w:rsidR="0017759C" w:rsidRPr="00C2322F" w:rsidRDefault="0017759C" w:rsidP="00C2322F">
            <w:pPr>
              <w:jc w:val="center"/>
              <w:rPr>
                <w:rFonts w:ascii="Arial" w:hAnsi="Arial" w:cs="Arial"/>
                <w:b/>
                <w:sz w:val="20"/>
              </w:rPr>
            </w:pPr>
            <w:r w:rsidRPr="00C2322F">
              <w:rPr>
                <w:rFonts w:ascii="Arial" w:hAnsi="Arial" w:cs="Arial"/>
                <w:b/>
                <w:sz w:val="20"/>
              </w:rPr>
              <w:t>Instructor Information</w:t>
            </w:r>
          </w:p>
        </w:tc>
      </w:tr>
      <w:tr w:rsidR="0017759C" w:rsidRPr="00C2322F" w:rsidTr="00D76428">
        <w:trPr>
          <w:trHeight w:val="89"/>
        </w:trPr>
        <w:tc>
          <w:tcPr>
            <w:tcW w:w="10340" w:type="dxa"/>
            <w:gridSpan w:val="5"/>
            <w:shd w:val="clear" w:color="auto" w:fill="auto"/>
          </w:tcPr>
          <w:p w:rsidR="0017759C" w:rsidRPr="00C2322F" w:rsidRDefault="0017759C">
            <w:pPr>
              <w:rPr>
                <w:rFonts w:ascii="Arial" w:hAnsi="Arial" w:cs="Arial"/>
                <w:sz w:val="10"/>
              </w:rPr>
            </w:pPr>
          </w:p>
        </w:tc>
      </w:tr>
      <w:tr w:rsidR="0017759C" w:rsidRPr="00C2322F" w:rsidTr="00D76428">
        <w:trPr>
          <w:trHeight w:val="288"/>
        </w:trPr>
        <w:tc>
          <w:tcPr>
            <w:tcW w:w="2870" w:type="dxa"/>
            <w:shd w:val="clear" w:color="auto" w:fill="auto"/>
            <w:vAlign w:val="center"/>
          </w:tcPr>
          <w:p w:rsidR="0017759C" w:rsidRPr="00C2322F" w:rsidRDefault="007C2C4A" w:rsidP="0017759C">
            <w:pPr>
              <w:rPr>
                <w:rFonts w:ascii="Arial" w:hAnsi="Arial" w:cs="Arial"/>
                <w:sz w:val="20"/>
              </w:rPr>
            </w:pPr>
            <w:r>
              <w:rPr>
                <w:rFonts w:ascii="Arial" w:hAnsi="Arial" w:cs="Arial"/>
                <w:sz w:val="20"/>
              </w:rPr>
              <w:t xml:space="preserve">Dr. </w:t>
            </w:r>
            <w:r w:rsidR="00D76428">
              <w:rPr>
                <w:rFonts w:ascii="Arial" w:hAnsi="Arial" w:cs="Arial"/>
                <w:sz w:val="20"/>
              </w:rPr>
              <w:t>Garrett</w:t>
            </w:r>
            <w:r>
              <w:rPr>
                <w:rFonts w:ascii="Arial" w:hAnsi="Arial" w:cs="Arial"/>
                <w:sz w:val="20"/>
              </w:rPr>
              <w:t xml:space="preserve"> N.</w:t>
            </w:r>
            <w:r w:rsidR="00D76428">
              <w:rPr>
                <w:rFonts w:ascii="Arial" w:hAnsi="Arial" w:cs="Arial"/>
                <w:sz w:val="20"/>
              </w:rPr>
              <w:t xml:space="preserve"> Vande Kamp</w:t>
            </w:r>
          </w:p>
        </w:tc>
        <w:tc>
          <w:tcPr>
            <w:tcW w:w="7470" w:type="dxa"/>
            <w:gridSpan w:val="4"/>
            <w:shd w:val="clear" w:color="auto" w:fill="auto"/>
          </w:tcPr>
          <w:p w:rsidR="0017759C" w:rsidRPr="00C2322F" w:rsidRDefault="0017759C">
            <w:pPr>
              <w:rPr>
                <w:rFonts w:ascii="Arial" w:hAnsi="Arial" w:cs="Arial"/>
                <w:sz w:val="20"/>
              </w:rPr>
            </w:pPr>
          </w:p>
        </w:tc>
      </w:tr>
      <w:tr w:rsidR="006A74A2" w:rsidRPr="00C2322F" w:rsidTr="00D76428">
        <w:trPr>
          <w:trHeight w:val="288"/>
        </w:trPr>
        <w:tc>
          <w:tcPr>
            <w:tcW w:w="2870" w:type="dxa"/>
            <w:shd w:val="clear" w:color="auto" w:fill="auto"/>
            <w:vAlign w:val="center"/>
          </w:tcPr>
          <w:p w:rsidR="006A74A2" w:rsidRPr="00C2322F" w:rsidRDefault="00D76428" w:rsidP="003D55EC">
            <w:pPr>
              <w:rPr>
                <w:rFonts w:ascii="Arial" w:hAnsi="Arial" w:cs="Arial"/>
                <w:sz w:val="20"/>
              </w:rPr>
            </w:pPr>
            <w:r>
              <w:rPr>
                <w:rFonts w:ascii="Arial" w:hAnsi="Arial" w:cs="Arial"/>
                <w:sz w:val="20"/>
              </w:rPr>
              <w:t>garrettvandekamp@</w:t>
            </w:r>
            <w:r w:rsidR="003D55EC">
              <w:rPr>
                <w:rFonts w:ascii="Arial" w:hAnsi="Arial" w:cs="Arial"/>
                <w:sz w:val="20"/>
              </w:rPr>
              <w:t>uga.edu</w:t>
            </w:r>
          </w:p>
        </w:tc>
        <w:tc>
          <w:tcPr>
            <w:tcW w:w="7470" w:type="dxa"/>
            <w:gridSpan w:val="4"/>
            <w:shd w:val="clear" w:color="auto" w:fill="auto"/>
          </w:tcPr>
          <w:p w:rsidR="006A74A2" w:rsidRPr="00C2322F" w:rsidRDefault="006A74A2" w:rsidP="006F1AEA">
            <w:pPr>
              <w:rPr>
                <w:rFonts w:ascii="Arial" w:hAnsi="Arial" w:cs="Arial"/>
                <w:sz w:val="20"/>
              </w:rPr>
            </w:pPr>
          </w:p>
        </w:tc>
      </w:tr>
      <w:tr w:rsidR="006A74A2" w:rsidRPr="00C2322F" w:rsidTr="00D76428">
        <w:trPr>
          <w:trHeight w:val="288"/>
        </w:trPr>
        <w:tc>
          <w:tcPr>
            <w:tcW w:w="2870" w:type="dxa"/>
            <w:shd w:val="clear" w:color="auto" w:fill="auto"/>
            <w:vAlign w:val="center"/>
          </w:tcPr>
          <w:p w:rsidR="006A74A2" w:rsidRPr="00C2322F" w:rsidRDefault="0006705C" w:rsidP="00DB1BBA">
            <w:pPr>
              <w:rPr>
                <w:rFonts w:ascii="Arial" w:hAnsi="Arial" w:cs="Arial"/>
                <w:sz w:val="20"/>
              </w:rPr>
            </w:pPr>
            <w:r>
              <w:rPr>
                <w:rFonts w:ascii="Arial" w:hAnsi="Arial" w:cs="Arial"/>
                <w:sz w:val="20"/>
              </w:rPr>
              <w:t>Baldwin</w:t>
            </w:r>
            <w:r w:rsidR="00A66F6A">
              <w:rPr>
                <w:rFonts w:ascii="Arial" w:hAnsi="Arial" w:cs="Arial"/>
                <w:sz w:val="20"/>
              </w:rPr>
              <w:t xml:space="preserve"> </w:t>
            </w:r>
            <w:r w:rsidR="00DB1BBA">
              <w:rPr>
                <w:rFonts w:ascii="Arial" w:hAnsi="Arial" w:cs="Arial"/>
                <w:sz w:val="20"/>
              </w:rPr>
              <w:t>409</w:t>
            </w:r>
          </w:p>
        </w:tc>
        <w:tc>
          <w:tcPr>
            <w:tcW w:w="7470" w:type="dxa"/>
            <w:gridSpan w:val="4"/>
            <w:shd w:val="clear" w:color="auto" w:fill="auto"/>
          </w:tcPr>
          <w:p w:rsidR="006A74A2" w:rsidRPr="00C2322F" w:rsidRDefault="006A74A2" w:rsidP="006F1AEA">
            <w:pPr>
              <w:rPr>
                <w:rFonts w:ascii="Arial" w:hAnsi="Arial" w:cs="Arial"/>
                <w:sz w:val="20"/>
              </w:rPr>
            </w:pPr>
          </w:p>
        </w:tc>
      </w:tr>
      <w:tr w:rsidR="0017759C" w:rsidRPr="00C2322F" w:rsidTr="00D76428">
        <w:trPr>
          <w:trHeight w:val="288"/>
        </w:trPr>
        <w:tc>
          <w:tcPr>
            <w:tcW w:w="2870" w:type="dxa"/>
            <w:shd w:val="clear" w:color="auto" w:fill="auto"/>
            <w:vAlign w:val="center"/>
          </w:tcPr>
          <w:p w:rsidR="0017759C" w:rsidRPr="00C2322F" w:rsidRDefault="00021EC3" w:rsidP="0017759C">
            <w:pPr>
              <w:rPr>
                <w:rFonts w:ascii="Arial" w:hAnsi="Arial" w:cs="Arial"/>
                <w:sz w:val="20"/>
              </w:rPr>
            </w:pPr>
            <w:r>
              <w:rPr>
                <w:rFonts w:ascii="Arial" w:hAnsi="Arial" w:cs="Arial"/>
                <w:sz w:val="20"/>
              </w:rPr>
              <w:t>W</w:t>
            </w:r>
            <w:r w:rsidR="00A66F6A">
              <w:rPr>
                <w:rFonts w:ascii="Arial" w:hAnsi="Arial" w:cs="Arial"/>
                <w:sz w:val="20"/>
              </w:rPr>
              <w:t xml:space="preserve"> 2:00 – 4:00</w:t>
            </w:r>
          </w:p>
        </w:tc>
        <w:tc>
          <w:tcPr>
            <w:tcW w:w="7470" w:type="dxa"/>
            <w:gridSpan w:val="4"/>
            <w:shd w:val="clear" w:color="auto" w:fill="auto"/>
          </w:tcPr>
          <w:p w:rsidR="0017759C" w:rsidRPr="00C2322F" w:rsidRDefault="0017759C">
            <w:pPr>
              <w:rPr>
                <w:rFonts w:ascii="Arial" w:hAnsi="Arial" w:cs="Arial"/>
                <w:sz w:val="20"/>
              </w:rPr>
            </w:pPr>
          </w:p>
        </w:tc>
      </w:tr>
      <w:tr w:rsidR="00396748" w:rsidRPr="00C2322F" w:rsidTr="00D76428">
        <w:tc>
          <w:tcPr>
            <w:tcW w:w="10340" w:type="dxa"/>
            <w:gridSpan w:val="5"/>
            <w:shd w:val="clear" w:color="auto" w:fill="auto"/>
          </w:tcPr>
          <w:p w:rsidR="000463E9" w:rsidRPr="00C2322F" w:rsidRDefault="000463E9" w:rsidP="006F1AEA">
            <w:pPr>
              <w:rPr>
                <w:rFonts w:ascii="Arial" w:hAnsi="Arial" w:cs="Arial"/>
                <w:sz w:val="20"/>
              </w:rPr>
            </w:pPr>
          </w:p>
        </w:tc>
      </w:tr>
      <w:tr w:rsidR="00654087" w:rsidRPr="00C2322F" w:rsidTr="00D76428">
        <w:tc>
          <w:tcPr>
            <w:tcW w:w="10340" w:type="dxa"/>
            <w:gridSpan w:val="5"/>
            <w:shd w:val="clear" w:color="auto" w:fill="auto"/>
          </w:tcPr>
          <w:p w:rsidR="00654087" w:rsidRPr="00C2322F" w:rsidRDefault="00654087" w:rsidP="00C2322F">
            <w:pPr>
              <w:jc w:val="center"/>
              <w:rPr>
                <w:rFonts w:ascii="Arial" w:hAnsi="Arial" w:cs="Arial"/>
                <w:b/>
                <w:sz w:val="20"/>
              </w:rPr>
            </w:pPr>
            <w:r w:rsidRPr="00C2322F">
              <w:rPr>
                <w:rFonts w:ascii="Arial" w:hAnsi="Arial" w:cs="Arial"/>
                <w:b/>
                <w:sz w:val="20"/>
              </w:rPr>
              <w:t>Textbook and/or Resource Material</w:t>
            </w:r>
          </w:p>
        </w:tc>
      </w:tr>
      <w:tr w:rsidR="00654087" w:rsidRPr="00C2322F" w:rsidTr="00D76428">
        <w:trPr>
          <w:trHeight w:val="89"/>
        </w:trPr>
        <w:tc>
          <w:tcPr>
            <w:tcW w:w="10340" w:type="dxa"/>
            <w:gridSpan w:val="5"/>
            <w:shd w:val="clear" w:color="auto" w:fill="auto"/>
          </w:tcPr>
          <w:p w:rsidR="00654087" w:rsidRPr="00C2322F" w:rsidRDefault="00654087" w:rsidP="0017759C">
            <w:pPr>
              <w:rPr>
                <w:rFonts w:ascii="Arial" w:hAnsi="Arial" w:cs="Arial"/>
                <w:sz w:val="10"/>
              </w:rPr>
            </w:pPr>
          </w:p>
        </w:tc>
      </w:tr>
      <w:tr w:rsidR="00654087" w:rsidRPr="00C2322F" w:rsidTr="00D76428">
        <w:tc>
          <w:tcPr>
            <w:tcW w:w="10340" w:type="dxa"/>
            <w:gridSpan w:val="5"/>
            <w:shd w:val="clear" w:color="auto" w:fill="auto"/>
          </w:tcPr>
          <w:p w:rsidR="00320701" w:rsidRDefault="000C158F" w:rsidP="0017759C">
            <w:pPr>
              <w:rPr>
                <w:rFonts w:ascii="Arial" w:hAnsi="Arial" w:cs="Arial"/>
                <w:sz w:val="20"/>
              </w:rPr>
            </w:pPr>
            <w:r w:rsidRPr="007C2C4A">
              <w:rPr>
                <w:rFonts w:ascii="Arial" w:hAnsi="Arial" w:cs="Arial"/>
                <w:sz w:val="20"/>
              </w:rPr>
              <w:t>Textbook</w:t>
            </w:r>
            <w:r w:rsidR="00320701">
              <w:rPr>
                <w:rFonts w:ascii="Arial" w:hAnsi="Arial" w:cs="Arial"/>
                <w:sz w:val="20"/>
              </w:rPr>
              <w:t>s</w:t>
            </w:r>
            <w:r w:rsidRPr="007C2C4A">
              <w:rPr>
                <w:rFonts w:ascii="Arial" w:hAnsi="Arial" w:cs="Arial"/>
                <w:i/>
                <w:sz w:val="20"/>
              </w:rPr>
              <w:t xml:space="preserve">: </w:t>
            </w:r>
            <w:r w:rsidR="00320701">
              <w:rPr>
                <w:rFonts w:ascii="Arial" w:hAnsi="Arial" w:cs="Arial"/>
                <w:sz w:val="20"/>
              </w:rPr>
              <w:t>The following</w:t>
            </w:r>
            <w:r w:rsidR="002033B0">
              <w:rPr>
                <w:rFonts w:ascii="Arial" w:hAnsi="Arial" w:cs="Arial"/>
                <w:sz w:val="20"/>
              </w:rPr>
              <w:t xml:space="preserve"> textbooks are good introductions to dynamic and spatial regression models. T</w:t>
            </w:r>
            <w:r w:rsidR="00320701">
              <w:rPr>
                <w:rFonts w:ascii="Arial" w:hAnsi="Arial" w:cs="Arial"/>
                <w:sz w:val="20"/>
              </w:rPr>
              <w:t xml:space="preserve">he Instructor’s </w:t>
            </w:r>
            <w:r w:rsidR="002033B0">
              <w:rPr>
                <w:rFonts w:ascii="Arial" w:hAnsi="Arial" w:cs="Arial"/>
                <w:sz w:val="20"/>
              </w:rPr>
              <w:t>required text</w:t>
            </w:r>
            <w:r w:rsidR="00320701">
              <w:rPr>
                <w:rFonts w:ascii="Arial" w:hAnsi="Arial" w:cs="Arial"/>
                <w:sz w:val="20"/>
              </w:rPr>
              <w:t xml:space="preserve"> </w:t>
            </w:r>
            <w:r w:rsidR="003D55EC">
              <w:rPr>
                <w:rFonts w:ascii="Arial" w:hAnsi="Arial" w:cs="Arial"/>
                <w:sz w:val="20"/>
              </w:rPr>
              <w:t>are bolded</w:t>
            </w:r>
            <w:r w:rsidR="00320701">
              <w:rPr>
                <w:rFonts w:ascii="Arial" w:hAnsi="Arial" w:cs="Arial"/>
                <w:sz w:val="20"/>
              </w:rPr>
              <w:t>.</w:t>
            </w:r>
          </w:p>
          <w:p w:rsidR="00DC53FC" w:rsidRDefault="00DC53FC" w:rsidP="0017759C">
            <w:pPr>
              <w:rPr>
                <w:rFonts w:ascii="Arial" w:hAnsi="Arial" w:cs="Arial"/>
                <w:sz w:val="20"/>
              </w:rPr>
            </w:pPr>
          </w:p>
          <w:p w:rsidR="00DC53FC" w:rsidRDefault="00DC53FC" w:rsidP="0017759C">
            <w:pPr>
              <w:rPr>
                <w:rFonts w:ascii="Arial" w:hAnsi="Arial" w:cs="Arial"/>
                <w:sz w:val="20"/>
              </w:rPr>
            </w:pPr>
            <w:r>
              <w:rPr>
                <w:rFonts w:ascii="Arial" w:hAnsi="Arial" w:cs="Arial"/>
                <w:sz w:val="20"/>
              </w:rPr>
              <w:t>Time Series:</w:t>
            </w:r>
          </w:p>
          <w:p w:rsidR="00DC53FC" w:rsidRPr="003D55EC" w:rsidRDefault="00DC53FC" w:rsidP="0017759C">
            <w:pPr>
              <w:rPr>
                <w:rFonts w:ascii="Arial" w:hAnsi="Arial" w:cs="Arial"/>
                <w:b/>
                <w:sz w:val="20"/>
              </w:rPr>
            </w:pPr>
            <w:r w:rsidRPr="003D55EC">
              <w:rPr>
                <w:rFonts w:ascii="Arial" w:hAnsi="Arial" w:cs="Arial"/>
                <w:b/>
                <w:sz w:val="20"/>
              </w:rPr>
              <w:t xml:space="preserve">Pickup, Mark. 2015. </w:t>
            </w:r>
            <w:r w:rsidRPr="003D55EC">
              <w:rPr>
                <w:rFonts w:ascii="Arial" w:hAnsi="Arial" w:cs="Arial"/>
                <w:b/>
                <w:i/>
                <w:sz w:val="20"/>
              </w:rPr>
              <w:t xml:space="preserve">Introduction to Time Series Analysis. </w:t>
            </w:r>
            <w:r w:rsidRPr="003D55EC">
              <w:rPr>
                <w:rFonts w:ascii="Arial" w:hAnsi="Arial" w:cs="Arial"/>
                <w:b/>
                <w:sz w:val="20"/>
              </w:rPr>
              <w:t>Quantitative Applications in the Social Sciences. Thousand Oaks, CA: SAGE Publishing.</w:t>
            </w:r>
          </w:p>
          <w:p w:rsidR="00DC53FC" w:rsidRPr="00DC53FC" w:rsidRDefault="00DC53FC" w:rsidP="0017759C">
            <w:pPr>
              <w:rPr>
                <w:rFonts w:ascii="Arial" w:hAnsi="Arial" w:cs="Arial"/>
                <w:sz w:val="20"/>
              </w:rPr>
            </w:pPr>
            <w:r>
              <w:rPr>
                <w:rFonts w:ascii="Arial" w:hAnsi="Arial" w:cs="Arial"/>
                <w:sz w:val="20"/>
              </w:rPr>
              <w:t>Box-</w:t>
            </w:r>
            <w:proofErr w:type="spellStart"/>
            <w:r>
              <w:rPr>
                <w:rFonts w:ascii="Arial" w:hAnsi="Arial" w:cs="Arial"/>
                <w:sz w:val="20"/>
              </w:rPr>
              <w:t>Steffensmeier</w:t>
            </w:r>
            <w:proofErr w:type="spellEnd"/>
            <w:r>
              <w:rPr>
                <w:rFonts w:ascii="Arial" w:hAnsi="Arial" w:cs="Arial"/>
                <w:sz w:val="20"/>
              </w:rPr>
              <w:t xml:space="preserve">, Janet M., John R. Freeman, Matthew P. </w:t>
            </w:r>
            <w:proofErr w:type="spellStart"/>
            <w:r>
              <w:rPr>
                <w:rFonts w:ascii="Arial" w:hAnsi="Arial" w:cs="Arial"/>
                <w:sz w:val="20"/>
              </w:rPr>
              <w:t>Hitt</w:t>
            </w:r>
            <w:proofErr w:type="spellEnd"/>
            <w:r>
              <w:rPr>
                <w:rFonts w:ascii="Arial" w:hAnsi="Arial" w:cs="Arial"/>
                <w:sz w:val="20"/>
              </w:rPr>
              <w:t xml:space="preserve">, Jon C. W. </w:t>
            </w:r>
            <w:proofErr w:type="spellStart"/>
            <w:r>
              <w:rPr>
                <w:rFonts w:ascii="Arial" w:hAnsi="Arial" w:cs="Arial"/>
                <w:sz w:val="20"/>
              </w:rPr>
              <w:t>Pevehouse</w:t>
            </w:r>
            <w:proofErr w:type="spellEnd"/>
            <w:r>
              <w:rPr>
                <w:rFonts w:ascii="Arial" w:hAnsi="Arial" w:cs="Arial"/>
                <w:sz w:val="20"/>
              </w:rPr>
              <w:t xml:space="preserve">. 2014. </w:t>
            </w:r>
            <w:r w:rsidRPr="00DC53FC">
              <w:rPr>
                <w:rFonts w:ascii="Arial" w:hAnsi="Arial" w:cs="Arial"/>
                <w:i/>
                <w:sz w:val="20"/>
              </w:rPr>
              <w:t>Time Series Analysis for the Social Sciences</w:t>
            </w:r>
            <w:r>
              <w:rPr>
                <w:rFonts w:ascii="Arial" w:hAnsi="Arial" w:cs="Arial"/>
                <w:i/>
                <w:sz w:val="20"/>
              </w:rPr>
              <w:t xml:space="preserve">. </w:t>
            </w:r>
            <w:r>
              <w:rPr>
                <w:rFonts w:ascii="Arial" w:hAnsi="Arial" w:cs="Arial"/>
                <w:sz w:val="20"/>
              </w:rPr>
              <w:t>Analytical Methods for Social Research. Cambridge: Cambridge University Press.</w:t>
            </w:r>
          </w:p>
          <w:p w:rsidR="00DC53FC" w:rsidRDefault="00DC53FC" w:rsidP="0017759C">
            <w:pPr>
              <w:rPr>
                <w:rFonts w:ascii="Arial" w:hAnsi="Arial" w:cs="Arial"/>
                <w:sz w:val="20"/>
              </w:rPr>
            </w:pPr>
          </w:p>
          <w:p w:rsidR="00DC53FC" w:rsidRDefault="00DC53FC" w:rsidP="0017759C">
            <w:pPr>
              <w:rPr>
                <w:rFonts w:ascii="Arial" w:hAnsi="Arial" w:cs="Arial"/>
                <w:sz w:val="20"/>
              </w:rPr>
            </w:pPr>
            <w:r>
              <w:rPr>
                <w:rFonts w:ascii="Arial" w:hAnsi="Arial" w:cs="Arial"/>
                <w:sz w:val="20"/>
              </w:rPr>
              <w:t>Spatial:</w:t>
            </w:r>
          </w:p>
          <w:p w:rsidR="00212E65" w:rsidRPr="003D55EC" w:rsidRDefault="00DC53FC" w:rsidP="0017759C">
            <w:pPr>
              <w:rPr>
                <w:rFonts w:ascii="Arial" w:hAnsi="Arial" w:cs="Arial"/>
                <w:b/>
                <w:sz w:val="20"/>
              </w:rPr>
            </w:pPr>
            <w:proofErr w:type="spellStart"/>
            <w:r w:rsidRPr="003D55EC">
              <w:rPr>
                <w:rFonts w:ascii="Arial" w:hAnsi="Arial" w:cs="Arial"/>
                <w:b/>
                <w:sz w:val="20"/>
              </w:rPr>
              <w:t>Darmofal</w:t>
            </w:r>
            <w:proofErr w:type="spellEnd"/>
            <w:r w:rsidRPr="003D55EC">
              <w:rPr>
                <w:rFonts w:ascii="Arial" w:hAnsi="Arial" w:cs="Arial"/>
                <w:b/>
                <w:sz w:val="20"/>
              </w:rPr>
              <w:t xml:space="preserve">, David. 2015. </w:t>
            </w:r>
            <w:r w:rsidRPr="003D55EC">
              <w:rPr>
                <w:rFonts w:ascii="Arial" w:hAnsi="Arial" w:cs="Arial"/>
                <w:b/>
                <w:i/>
                <w:sz w:val="20"/>
              </w:rPr>
              <w:t xml:space="preserve">Spatial Analysis for the Social Sciences. </w:t>
            </w:r>
            <w:r w:rsidRPr="003D55EC">
              <w:rPr>
                <w:rFonts w:ascii="Arial" w:hAnsi="Arial" w:cs="Arial"/>
                <w:b/>
                <w:sz w:val="20"/>
              </w:rPr>
              <w:t>Analytical Methods for Social Research. Cambridge: Cambridge University Press.</w:t>
            </w:r>
          </w:p>
          <w:p w:rsidR="00212E65" w:rsidRDefault="00212E65" w:rsidP="0017759C">
            <w:pPr>
              <w:rPr>
                <w:rFonts w:ascii="Arial" w:hAnsi="Arial" w:cs="Arial"/>
                <w:sz w:val="20"/>
              </w:rPr>
            </w:pPr>
            <w:proofErr w:type="spellStart"/>
            <w:r>
              <w:rPr>
                <w:rFonts w:ascii="Arial" w:hAnsi="Arial" w:cs="Arial"/>
                <w:sz w:val="20"/>
              </w:rPr>
              <w:t>Elhorst</w:t>
            </w:r>
            <w:proofErr w:type="spellEnd"/>
            <w:r>
              <w:rPr>
                <w:rFonts w:ascii="Arial" w:hAnsi="Arial" w:cs="Arial"/>
                <w:sz w:val="20"/>
              </w:rPr>
              <w:t xml:space="preserve">, J. Paul. 2014. </w:t>
            </w:r>
            <w:r w:rsidRPr="00212E65">
              <w:rPr>
                <w:rFonts w:ascii="Arial" w:hAnsi="Arial" w:cs="Arial"/>
                <w:i/>
                <w:sz w:val="20"/>
              </w:rPr>
              <w:t>Spatial Econometrics: From Cross-Sectional Data to Spatial Panels</w:t>
            </w:r>
            <w:r>
              <w:rPr>
                <w:rFonts w:ascii="Arial" w:hAnsi="Arial" w:cs="Arial"/>
                <w:sz w:val="20"/>
              </w:rPr>
              <w:t>. Springer.</w:t>
            </w:r>
          </w:p>
          <w:p w:rsidR="00320701" w:rsidRDefault="00DC53FC" w:rsidP="0017759C">
            <w:pPr>
              <w:rPr>
                <w:rFonts w:ascii="Arial" w:hAnsi="Arial" w:cs="Arial"/>
                <w:sz w:val="20"/>
              </w:rPr>
            </w:pPr>
            <w:r>
              <w:rPr>
                <w:rFonts w:ascii="Arial" w:hAnsi="Arial" w:cs="Arial"/>
                <w:sz w:val="20"/>
              </w:rPr>
              <w:t xml:space="preserve">Ward, Michael D. and Kristian S. </w:t>
            </w:r>
            <w:proofErr w:type="spellStart"/>
            <w:r>
              <w:rPr>
                <w:rFonts w:ascii="Arial" w:hAnsi="Arial" w:cs="Arial"/>
                <w:sz w:val="20"/>
              </w:rPr>
              <w:t>Gleditsch</w:t>
            </w:r>
            <w:proofErr w:type="spellEnd"/>
            <w:r>
              <w:rPr>
                <w:rFonts w:ascii="Arial" w:hAnsi="Arial" w:cs="Arial"/>
                <w:sz w:val="20"/>
              </w:rPr>
              <w:t xml:space="preserve">. 2018. </w:t>
            </w:r>
            <w:r>
              <w:rPr>
                <w:rFonts w:ascii="Arial" w:hAnsi="Arial" w:cs="Arial"/>
                <w:i/>
                <w:sz w:val="20"/>
              </w:rPr>
              <w:t>Spatial Regression Models</w:t>
            </w:r>
            <w:r>
              <w:rPr>
                <w:rFonts w:ascii="Arial" w:hAnsi="Arial" w:cs="Arial"/>
                <w:sz w:val="20"/>
              </w:rPr>
              <w:t>, Second Edition. Quantitative Applications in the Social Sciences. Thousand Oaks, CA: SAGE Publishing.</w:t>
            </w:r>
          </w:p>
          <w:p w:rsidR="00EC5DF2" w:rsidRPr="007C2C4A" w:rsidRDefault="00EC5DF2" w:rsidP="0017759C">
            <w:pPr>
              <w:rPr>
                <w:rFonts w:ascii="Arial" w:hAnsi="Arial" w:cs="Arial"/>
                <w:sz w:val="20"/>
              </w:rPr>
            </w:pPr>
          </w:p>
          <w:p w:rsidR="00EC5DF2" w:rsidRPr="007C2C4A" w:rsidRDefault="00EC5DF2" w:rsidP="0017759C">
            <w:pPr>
              <w:rPr>
                <w:rFonts w:ascii="Arial" w:hAnsi="Arial" w:cs="Arial"/>
                <w:sz w:val="20"/>
              </w:rPr>
            </w:pPr>
            <w:r w:rsidRPr="007C2C4A">
              <w:rPr>
                <w:rFonts w:ascii="Arial" w:hAnsi="Arial" w:cs="Arial"/>
                <w:sz w:val="20"/>
              </w:rPr>
              <w:t xml:space="preserve">Software: STATA 16, IC. </w:t>
            </w:r>
            <w:proofErr w:type="spellStart"/>
            <w:r w:rsidRPr="007C2C4A">
              <w:rPr>
                <w:rFonts w:ascii="Arial" w:hAnsi="Arial" w:cs="Arial"/>
                <w:sz w:val="20"/>
              </w:rPr>
              <w:t>StataCorp</w:t>
            </w:r>
            <w:proofErr w:type="spellEnd"/>
            <w:r w:rsidRPr="007C2C4A">
              <w:rPr>
                <w:rFonts w:ascii="Arial" w:hAnsi="Arial" w:cs="Arial"/>
                <w:sz w:val="20"/>
              </w:rPr>
              <w:t>. (A six-month license will satisfy the requirements for this course)</w:t>
            </w:r>
          </w:p>
          <w:p w:rsidR="00C55403" w:rsidRDefault="00C55403" w:rsidP="0017759C">
            <w:pPr>
              <w:rPr>
                <w:rFonts w:ascii="Arial" w:hAnsi="Arial" w:cs="Arial"/>
                <w:sz w:val="20"/>
              </w:rPr>
            </w:pPr>
          </w:p>
          <w:p w:rsidR="00EE4809" w:rsidRPr="00320701" w:rsidRDefault="00EC5DF2" w:rsidP="00320701">
            <w:pPr>
              <w:rPr>
                <w:rFonts w:ascii="Arial" w:hAnsi="Arial" w:cs="Arial"/>
                <w:sz w:val="20"/>
                <w:szCs w:val="20"/>
              </w:rPr>
            </w:pPr>
            <w:r w:rsidRPr="007C2C4A">
              <w:rPr>
                <w:rFonts w:ascii="Arial" w:hAnsi="Arial" w:cs="Arial"/>
                <w:sz w:val="20"/>
              </w:rPr>
              <w:t xml:space="preserve">In addition, journal articles will be required reading during the semester. They can be accessed through </w:t>
            </w:r>
            <w:r w:rsidR="00632965" w:rsidRPr="007C2C4A">
              <w:rPr>
                <w:rFonts w:ascii="Arial" w:hAnsi="Arial" w:cs="Arial"/>
                <w:sz w:val="20"/>
              </w:rPr>
              <w:t>the university’s resourc</w:t>
            </w:r>
            <w:r w:rsidRPr="007C2C4A">
              <w:rPr>
                <w:rFonts w:ascii="Arial" w:hAnsi="Arial" w:cs="Arial"/>
                <w:sz w:val="20"/>
              </w:rPr>
              <w:t>es available freely t</w:t>
            </w:r>
            <w:r w:rsidRPr="007C2C4A">
              <w:rPr>
                <w:rFonts w:ascii="Arial" w:hAnsi="Arial" w:cs="Arial"/>
                <w:sz w:val="20"/>
                <w:szCs w:val="20"/>
              </w:rPr>
              <w:t>o students.</w:t>
            </w:r>
          </w:p>
        </w:tc>
      </w:tr>
      <w:tr w:rsidR="00396748" w:rsidRPr="00C2322F" w:rsidTr="00D76428">
        <w:tc>
          <w:tcPr>
            <w:tcW w:w="10340" w:type="dxa"/>
            <w:gridSpan w:val="5"/>
            <w:shd w:val="clear" w:color="auto" w:fill="auto"/>
          </w:tcPr>
          <w:p w:rsidR="00396748" w:rsidRPr="00C2322F" w:rsidRDefault="00396748" w:rsidP="006F1AEA">
            <w:pPr>
              <w:rPr>
                <w:rFonts w:ascii="Arial" w:hAnsi="Arial" w:cs="Arial"/>
                <w:sz w:val="20"/>
              </w:rPr>
            </w:pPr>
          </w:p>
        </w:tc>
      </w:tr>
      <w:tr w:rsidR="00884395" w:rsidRPr="00C2322F" w:rsidTr="00D76428">
        <w:tc>
          <w:tcPr>
            <w:tcW w:w="10340" w:type="dxa"/>
            <w:gridSpan w:val="5"/>
            <w:shd w:val="clear" w:color="auto" w:fill="auto"/>
          </w:tcPr>
          <w:p w:rsidR="00884395" w:rsidRPr="00C2322F" w:rsidRDefault="00DB1BBA" w:rsidP="00884395">
            <w:pPr>
              <w:jc w:val="center"/>
              <w:rPr>
                <w:rFonts w:ascii="Arial" w:hAnsi="Arial" w:cs="Arial"/>
                <w:b/>
                <w:sz w:val="20"/>
              </w:rPr>
            </w:pPr>
            <w:r>
              <w:rPr>
                <w:rFonts w:ascii="Arial" w:hAnsi="Arial" w:cs="Arial"/>
                <w:b/>
                <w:sz w:val="20"/>
              </w:rPr>
              <w:t xml:space="preserve">Class Format and </w:t>
            </w:r>
            <w:r w:rsidR="00884395">
              <w:rPr>
                <w:rFonts w:ascii="Arial" w:hAnsi="Arial" w:cs="Arial"/>
                <w:b/>
                <w:sz w:val="20"/>
              </w:rPr>
              <w:t>Attendance Policy</w:t>
            </w:r>
          </w:p>
        </w:tc>
      </w:tr>
      <w:tr w:rsidR="00884395" w:rsidRPr="00C2322F" w:rsidTr="0014674F">
        <w:tc>
          <w:tcPr>
            <w:tcW w:w="10340" w:type="dxa"/>
            <w:gridSpan w:val="5"/>
            <w:shd w:val="clear" w:color="auto" w:fill="auto"/>
          </w:tcPr>
          <w:p w:rsidR="00DB1BBA" w:rsidRDefault="00DB1BBA" w:rsidP="00255267">
            <w:pPr>
              <w:tabs>
                <w:tab w:val="center" w:pos="5062"/>
              </w:tabs>
              <w:rPr>
                <w:rFonts w:ascii="Arial" w:hAnsi="Arial" w:cs="Arial"/>
                <w:sz w:val="20"/>
                <w:szCs w:val="20"/>
              </w:rPr>
            </w:pPr>
            <w:r>
              <w:rPr>
                <w:rFonts w:ascii="Arial" w:hAnsi="Arial" w:cs="Arial"/>
                <w:sz w:val="20"/>
                <w:szCs w:val="20"/>
              </w:rPr>
              <w:t xml:space="preserve">In light of COVID-19, class will be held in a </w:t>
            </w:r>
            <w:proofErr w:type="spellStart"/>
            <w:r>
              <w:rPr>
                <w:rFonts w:ascii="Arial" w:hAnsi="Arial" w:cs="Arial"/>
                <w:sz w:val="20"/>
                <w:szCs w:val="20"/>
              </w:rPr>
              <w:t>HyFlex</w:t>
            </w:r>
            <w:proofErr w:type="spellEnd"/>
            <w:r>
              <w:rPr>
                <w:rFonts w:ascii="Arial" w:hAnsi="Arial" w:cs="Arial"/>
                <w:sz w:val="20"/>
                <w:szCs w:val="20"/>
              </w:rPr>
              <w:t xml:space="preserve"> format. Students are invited to attend class either in-person or online, where classes will be streamed simultaneously.</w:t>
            </w:r>
            <w:r w:rsidR="00087506">
              <w:rPr>
                <w:rFonts w:ascii="Arial" w:hAnsi="Arial" w:cs="Arial"/>
                <w:sz w:val="20"/>
                <w:szCs w:val="20"/>
              </w:rPr>
              <w:t xml:space="preserve"> Should class enrollment remain constant, the classroom </w:t>
            </w:r>
            <w:r w:rsidR="00087506">
              <w:rPr>
                <w:rFonts w:ascii="Arial" w:hAnsi="Arial" w:cs="Arial"/>
                <w:sz w:val="20"/>
                <w:szCs w:val="20"/>
              </w:rPr>
              <w:lastRenderedPageBreak/>
              <w:t>will be large enough to accommodate all students in-person simultaneously. Should enrollment increase, a transition to alternating class attendance may become necessary.</w:t>
            </w:r>
            <w:r>
              <w:rPr>
                <w:rFonts w:ascii="Arial" w:hAnsi="Arial" w:cs="Arial"/>
                <w:sz w:val="20"/>
                <w:szCs w:val="20"/>
              </w:rPr>
              <w:t xml:space="preserve"> Students</w:t>
            </w:r>
            <w:r w:rsidR="00087506">
              <w:rPr>
                <w:rFonts w:ascii="Arial" w:hAnsi="Arial" w:cs="Arial"/>
                <w:sz w:val="20"/>
                <w:szCs w:val="20"/>
              </w:rPr>
              <w:t xml:space="preserve"> can always opt to attend online and</w:t>
            </w:r>
            <w:r>
              <w:rPr>
                <w:rFonts w:ascii="Arial" w:hAnsi="Arial" w:cs="Arial"/>
                <w:sz w:val="20"/>
                <w:szCs w:val="20"/>
              </w:rPr>
              <w:t xml:space="preserve"> do not need an accommodation to </w:t>
            </w:r>
            <w:r w:rsidR="00087506">
              <w:rPr>
                <w:rFonts w:ascii="Arial" w:hAnsi="Arial" w:cs="Arial"/>
                <w:sz w:val="20"/>
                <w:szCs w:val="20"/>
              </w:rPr>
              <w:t xml:space="preserve">do so. Additionally, students </w:t>
            </w:r>
            <w:r>
              <w:rPr>
                <w:rFonts w:ascii="Arial" w:hAnsi="Arial" w:cs="Arial"/>
                <w:sz w:val="20"/>
                <w:szCs w:val="20"/>
              </w:rPr>
              <w:t>are required to do so when they might feel they have symptoms of COVID-19.</w:t>
            </w:r>
          </w:p>
          <w:p w:rsidR="00087506" w:rsidRDefault="00087506" w:rsidP="00255267">
            <w:pPr>
              <w:tabs>
                <w:tab w:val="center" w:pos="5062"/>
              </w:tabs>
              <w:rPr>
                <w:rFonts w:ascii="Arial" w:hAnsi="Arial" w:cs="Arial"/>
                <w:sz w:val="20"/>
                <w:szCs w:val="20"/>
              </w:rPr>
            </w:pPr>
          </w:p>
          <w:p w:rsidR="00087506" w:rsidRDefault="00087506" w:rsidP="00255267">
            <w:pPr>
              <w:tabs>
                <w:tab w:val="center" w:pos="5062"/>
              </w:tabs>
              <w:rPr>
                <w:rFonts w:ascii="Arial" w:hAnsi="Arial" w:cs="Arial"/>
                <w:sz w:val="20"/>
                <w:szCs w:val="20"/>
              </w:rPr>
            </w:pPr>
            <w:r>
              <w:rPr>
                <w:rFonts w:ascii="Arial" w:hAnsi="Arial" w:cs="Arial"/>
                <w:sz w:val="20"/>
                <w:szCs w:val="20"/>
              </w:rPr>
              <w:t xml:space="preserve">After Thanksgiving Break, classes will transition entirely online. </w:t>
            </w:r>
          </w:p>
          <w:p w:rsidR="00DB1BBA" w:rsidRDefault="00DB1BBA" w:rsidP="00255267">
            <w:pPr>
              <w:tabs>
                <w:tab w:val="center" w:pos="5062"/>
              </w:tabs>
              <w:rPr>
                <w:rFonts w:ascii="Arial" w:hAnsi="Arial" w:cs="Arial"/>
                <w:sz w:val="20"/>
                <w:szCs w:val="20"/>
              </w:rPr>
            </w:pPr>
          </w:p>
          <w:p w:rsidR="00130F15" w:rsidRPr="00AA0A6A" w:rsidRDefault="00884395" w:rsidP="00DB1BBA">
            <w:pPr>
              <w:tabs>
                <w:tab w:val="center" w:pos="5062"/>
              </w:tabs>
              <w:rPr>
                <w:rFonts w:ascii="Arial" w:hAnsi="Arial" w:cs="Arial"/>
                <w:sz w:val="20"/>
              </w:rPr>
            </w:pPr>
            <w:r>
              <w:rPr>
                <w:rFonts w:ascii="Arial" w:hAnsi="Arial" w:cs="Arial"/>
                <w:sz w:val="20"/>
                <w:szCs w:val="20"/>
              </w:rPr>
              <w:t xml:space="preserve">Attendance </w:t>
            </w:r>
            <w:r w:rsidR="00220C47">
              <w:rPr>
                <w:rFonts w:ascii="Arial" w:hAnsi="Arial" w:cs="Arial"/>
                <w:sz w:val="20"/>
                <w:szCs w:val="20"/>
              </w:rPr>
              <w:t>is mandatory</w:t>
            </w:r>
            <w:r w:rsidR="00DB1BBA">
              <w:rPr>
                <w:rFonts w:ascii="Arial" w:hAnsi="Arial" w:cs="Arial"/>
                <w:sz w:val="20"/>
                <w:szCs w:val="20"/>
              </w:rPr>
              <w:t>, as recorded lectures will not be posted online</w:t>
            </w:r>
            <w:r w:rsidR="00220C47">
              <w:rPr>
                <w:rFonts w:ascii="Arial" w:hAnsi="Arial" w:cs="Arial"/>
                <w:sz w:val="20"/>
                <w:szCs w:val="20"/>
              </w:rPr>
              <w:t xml:space="preserve">. Each </w:t>
            </w:r>
            <w:r w:rsidR="00444053">
              <w:rPr>
                <w:rFonts w:ascii="Arial" w:hAnsi="Arial" w:cs="Arial"/>
                <w:sz w:val="20"/>
                <w:szCs w:val="20"/>
              </w:rPr>
              <w:t xml:space="preserve">student will have one unexcused absence for the class. Each subsequent </w:t>
            </w:r>
            <w:r w:rsidR="00220C47">
              <w:rPr>
                <w:rFonts w:ascii="Arial" w:hAnsi="Arial" w:cs="Arial"/>
                <w:sz w:val="20"/>
                <w:szCs w:val="20"/>
              </w:rPr>
              <w:t>absence will result in a 5% reduction in the student’s final grade. University-excused absences will not be subject to this penalty.</w:t>
            </w:r>
          </w:p>
        </w:tc>
      </w:tr>
      <w:tr w:rsidR="00884395" w:rsidRPr="00C2322F" w:rsidTr="0014674F">
        <w:tc>
          <w:tcPr>
            <w:tcW w:w="10340" w:type="dxa"/>
            <w:gridSpan w:val="5"/>
            <w:shd w:val="clear" w:color="auto" w:fill="auto"/>
          </w:tcPr>
          <w:p w:rsidR="00884395" w:rsidRPr="00C2322F" w:rsidRDefault="00884395" w:rsidP="0014674F">
            <w:pPr>
              <w:rPr>
                <w:rFonts w:ascii="Arial" w:hAnsi="Arial" w:cs="Arial"/>
                <w:sz w:val="20"/>
              </w:rPr>
            </w:pPr>
          </w:p>
        </w:tc>
      </w:tr>
      <w:tr w:rsidR="00884395" w:rsidRPr="00C2322F" w:rsidTr="0014674F">
        <w:tc>
          <w:tcPr>
            <w:tcW w:w="10340" w:type="dxa"/>
            <w:gridSpan w:val="5"/>
            <w:shd w:val="clear" w:color="auto" w:fill="auto"/>
          </w:tcPr>
          <w:p w:rsidR="00884395" w:rsidRPr="00C2322F" w:rsidRDefault="00884395" w:rsidP="00884395">
            <w:pPr>
              <w:jc w:val="center"/>
              <w:rPr>
                <w:rFonts w:ascii="Arial" w:hAnsi="Arial" w:cs="Arial"/>
                <w:b/>
                <w:sz w:val="20"/>
              </w:rPr>
            </w:pPr>
            <w:r w:rsidRPr="00C2322F">
              <w:rPr>
                <w:rFonts w:ascii="Arial" w:hAnsi="Arial" w:cs="Arial"/>
                <w:b/>
                <w:sz w:val="20"/>
              </w:rPr>
              <w:t>Grading Policies</w:t>
            </w:r>
            <w:r w:rsidR="00444053">
              <w:rPr>
                <w:rFonts w:ascii="Arial" w:hAnsi="Arial" w:cs="Arial"/>
                <w:b/>
                <w:sz w:val="20"/>
              </w:rPr>
              <w:t xml:space="preserve"> and Grading Scale</w:t>
            </w:r>
          </w:p>
        </w:tc>
      </w:tr>
      <w:tr w:rsidR="00884395" w:rsidRPr="00C2322F" w:rsidTr="00D76428">
        <w:trPr>
          <w:trHeight w:val="89"/>
        </w:trPr>
        <w:tc>
          <w:tcPr>
            <w:tcW w:w="10340" w:type="dxa"/>
            <w:gridSpan w:val="5"/>
            <w:shd w:val="clear" w:color="auto" w:fill="auto"/>
          </w:tcPr>
          <w:p w:rsidR="00884395" w:rsidRPr="00C2322F" w:rsidRDefault="00884395" w:rsidP="00884395">
            <w:pPr>
              <w:rPr>
                <w:rFonts w:ascii="Arial" w:hAnsi="Arial" w:cs="Arial"/>
                <w:sz w:val="10"/>
              </w:rPr>
            </w:pPr>
          </w:p>
        </w:tc>
      </w:tr>
      <w:tr w:rsidR="00444053" w:rsidRPr="00C2322F" w:rsidTr="007C272B">
        <w:trPr>
          <w:trHeight w:val="1188"/>
        </w:trPr>
        <w:tc>
          <w:tcPr>
            <w:tcW w:w="5170" w:type="dxa"/>
            <w:gridSpan w:val="4"/>
            <w:shd w:val="clear" w:color="auto" w:fill="auto"/>
          </w:tcPr>
          <w:p w:rsidR="00444053" w:rsidRDefault="00444053" w:rsidP="00444053">
            <w:pPr>
              <w:tabs>
                <w:tab w:val="center" w:pos="5062"/>
              </w:tabs>
              <w:rPr>
                <w:rFonts w:ascii="Arial" w:hAnsi="Arial" w:cs="Arial"/>
                <w:sz w:val="20"/>
                <w:szCs w:val="20"/>
              </w:rPr>
            </w:pPr>
            <w:r>
              <w:rPr>
                <w:rFonts w:ascii="Arial" w:hAnsi="Arial" w:cs="Arial"/>
                <w:sz w:val="20"/>
                <w:szCs w:val="20"/>
              </w:rPr>
              <w:t>Homework</w:t>
            </w:r>
            <w:r>
              <w:rPr>
                <w:rFonts w:ascii="Arial" w:hAnsi="Arial" w:cs="Arial"/>
                <w:sz w:val="20"/>
                <w:szCs w:val="20"/>
              </w:rPr>
              <w:tab/>
              <w:t>40%</w:t>
            </w:r>
          </w:p>
          <w:p w:rsidR="00444053" w:rsidRDefault="00444053" w:rsidP="00444053">
            <w:pPr>
              <w:tabs>
                <w:tab w:val="center" w:pos="5062"/>
              </w:tabs>
              <w:rPr>
                <w:rFonts w:ascii="Arial" w:hAnsi="Arial" w:cs="Arial"/>
                <w:sz w:val="20"/>
                <w:szCs w:val="20"/>
              </w:rPr>
            </w:pPr>
            <w:r>
              <w:rPr>
                <w:rFonts w:ascii="Arial" w:hAnsi="Arial" w:cs="Arial"/>
                <w:sz w:val="20"/>
                <w:szCs w:val="20"/>
              </w:rPr>
              <w:t>Final Exam</w:t>
            </w:r>
            <w:r>
              <w:rPr>
                <w:rFonts w:ascii="Arial" w:hAnsi="Arial" w:cs="Arial"/>
                <w:sz w:val="20"/>
                <w:szCs w:val="20"/>
              </w:rPr>
              <w:tab/>
              <w:t>30%</w:t>
            </w:r>
          </w:p>
          <w:p w:rsidR="00444053" w:rsidRDefault="00444053" w:rsidP="00444053">
            <w:pPr>
              <w:tabs>
                <w:tab w:val="center" w:pos="5062"/>
              </w:tabs>
              <w:rPr>
                <w:rFonts w:ascii="Arial" w:hAnsi="Arial" w:cs="Arial"/>
                <w:sz w:val="20"/>
                <w:szCs w:val="20"/>
              </w:rPr>
            </w:pPr>
            <w:r>
              <w:rPr>
                <w:rFonts w:ascii="Arial" w:hAnsi="Arial" w:cs="Arial"/>
                <w:sz w:val="20"/>
                <w:szCs w:val="20"/>
              </w:rPr>
              <w:t>Research Paper</w:t>
            </w:r>
            <w:r>
              <w:rPr>
                <w:rFonts w:ascii="Arial" w:hAnsi="Arial" w:cs="Arial"/>
                <w:sz w:val="20"/>
                <w:szCs w:val="20"/>
              </w:rPr>
              <w:tab/>
            </w:r>
            <w:r w:rsidR="00AA0A6A">
              <w:rPr>
                <w:rFonts w:ascii="Arial" w:hAnsi="Arial" w:cs="Arial"/>
                <w:sz w:val="20"/>
                <w:szCs w:val="20"/>
              </w:rPr>
              <w:t>3</w:t>
            </w:r>
            <w:r>
              <w:rPr>
                <w:rFonts w:ascii="Arial" w:hAnsi="Arial" w:cs="Arial"/>
                <w:sz w:val="20"/>
                <w:szCs w:val="20"/>
              </w:rPr>
              <w:t>0%</w:t>
            </w:r>
          </w:p>
        </w:tc>
        <w:tc>
          <w:tcPr>
            <w:tcW w:w="5170" w:type="dxa"/>
            <w:shd w:val="clear" w:color="auto" w:fill="auto"/>
          </w:tcPr>
          <w:p w:rsidR="00444053" w:rsidRPr="00632965" w:rsidRDefault="00444053" w:rsidP="00444053">
            <w:pPr>
              <w:tabs>
                <w:tab w:val="right" w:pos="10124"/>
              </w:tabs>
              <w:ind w:left="360"/>
              <w:jc w:val="both"/>
              <w:rPr>
                <w:rFonts w:ascii="Arial" w:hAnsi="Arial" w:cs="Arial"/>
                <w:sz w:val="20"/>
                <w:szCs w:val="22"/>
              </w:rPr>
            </w:pPr>
            <w:r w:rsidRPr="00632965">
              <w:rPr>
                <w:rFonts w:ascii="Arial" w:hAnsi="Arial" w:cs="Arial"/>
                <w:sz w:val="20"/>
                <w:szCs w:val="22"/>
              </w:rPr>
              <w:t>A = 90-100</w:t>
            </w:r>
            <w:r>
              <w:rPr>
                <w:rFonts w:ascii="Arial" w:hAnsi="Arial" w:cs="Arial"/>
                <w:sz w:val="20"/>
                <w:szCs w:val="22"/>
              </w:rPr>
              <w:tab/>
            </w:r>
          </w:p>
          <w:p w:rsidR="00444053" w:rsidRPr="00632965" w:rsidRDefault="00444053" w:rsidP="00444053">
            <w:pPr>
              <w:ind w:left="360"/>
              <w:jc w:val="both"/>
              <w:rPr>
                <w:rFonts w:ascii="Arial" w:hAnsi="Arial" w:cs="Arial"/>
                <w:sz w:val="20"/>
                <w:szCs w:val="22"/>
              </w:rPr>
            </w:pPr>
            <w:r w:rsidRPr="00632965">
              <w:rPr>
                <w:rFonts w:ascii="Arial" w:hAnsi="Arial" w:cs="Arial"/>
                <w:sz w:val="20"/>
                <w:szCs w:val="22"/>
              </w:rPr>
              <w:t>B = 80-89</w:t>
            </w:r>
          </w:p>
          <w:p w:rsidR="00444053" w:rsidRDefault="00444053" w:rsidP="00444053">
            <w:pPr>
              <w:ind w:left="360"/>
              <w:jc w:val="both"/>
              <w:rPr>
                <w:rFonts w:ascii="Arial" w:hAnsi="Arial" w:cs="Arial"/>
                <w:sz w:val="20"/>
                <w:szCs w:val="22"/>
              </w:rPr>
            </w:pPr>
            <w:r w:rsidRPr="00632965">
              <w:rPr>
                <w:rFonts w:ascii="Arial" w:hAnsi="Arial" w:cs="Arial"/>
                <w:sz w:val="20"/>
                <w:szCs w:val="22"/>
              </w:rPr>
              <w:t>C = 70-79</w:t>
            </w:r>
          </w:p>
          <w:p w:rsidR="00444053" w:rsidRDefault="00444053" w:rsidP="00444053">
            <w:pPr>
              <w:ind w:left="360"/>
              <w:jc w:val="both"/>
              <w:rPr>
                <w:rFonts w:ascii="Arial" w:hAnsi="Arial" w:cs="Arial"/>
                <w:sz w:val="20"/>
                <w:szCs w:val="22"/>
              </w:rPr>
            </w:pPr>
            <w:r>
              <w:rPr>
                <w:rFonts w:ascii="Arial" w:hAnsi="Arial" w:cs="Arial"/>
                <w:sz w:val="20"/>
                <w:szCs w:val="22"/>
              </w:rPr>
              <w:t>D = 60-69</w:t>
            </w:r>
          </w:p>
          <w:p w:rsidR="00444053" w:rsidRPr="00C2322F" w:rsidRDefault="00444053" w:rsidP="00444053">
            <w:pPr>
              <w:ind w:left="360"/>
              <w:jc w:val="both"/>
              <w:rPr>
                <w:rFonts w:ascii="Arial" w:hAnsi="Arial" w:cs="Arial"/>
                <w:sz w:val="20"/>
                <w:szCs w:val="20"/>
              </w:rPr>
            </w:pPr>
            <w:r>
              <w:rPr>
                <w:rFonts w:ascii="Arial" w:hAnsi="Arial" w:cs="Arial"/>
                <w:sz w:val="20"/>
                <w:szCs w:val="22"/>
              </w:rPr>
              <w:t>F &lt; 60</w:t>
            </w:r>
          </w:p>
        </w:tc>
      </w:tr>
      <w:tr w:rsidR="00444053" w:rsidRPr="00C2322F" w:rsidTr="00D76428">
        <w:tc>
          <w:tcPr>
            <w:tcW w:w="10340" w:type="dxa"/>
            <w:gridSpan w:val="5"/>
            <w:shd w:val="clear" w:color="auto" w:fill="auto"/>
          </w:tcPr>
          <w:p w:rsidR="00444053" w:rsidRPr="00C2322F" w:rsidRDefault="00444053" w:rsidP="00444053">
            <w:pPr>
              <w:rPr>
                <w:rFonts w:ascii="Arial" w:hAnsi="Arial" w:cs="Arial"/>
                <w:sz w:val="20"/>
              </w:rPr>
            </w:pPr>
          </w:p>
        </w:tc>
      </w:tr>
      <w:tr w:rsidR="00444053" w:rsidRPr="00C2322F" w:rsidTr="00D76428">
        <w:tc>
          <w:tcPr>
            <w:tcW w:w="10340" w:type="dxa"/>
            <w:gridSpan w:val="5"/>
            <w:shd w:val="clear" w:color="auto" w:fill="auto"/>
          </w:tcPr>
          <w:p w:rsidR="00444053" w:rsidRDefault="00444053" w:rsidP="00444053">
            <w:pPr>
              <w:rPr>
                <w:rFonts w:ascii="Arial" w:hAnsi="Arial" w:cs="Arial"/>
                <w:sz w:val="20"/>
              </w:rPr>
            </w:pPr>
            <w:r>
              <w:rPr>
                <w:rFonts w:ascii="Arial" w:hAnsi="Arial" w:cs="Arial"/>
                <w:b/>
                <w:sz w:val="20"/>
              </w:rPr>
              <w:t>Homework</w:t>
            </w:r>
            <w:r>
              <w:rPr>
                <w:rFonts w:ascii="Arial" w:hAnsi="Arial" w:cs="Arial"/>
                <w:sz w:val="20"/>
              </w:rPr>
              <w:t xml:space="preserve">: Students will assigned homework to </w:t>
            </w:r>
            <w:r w:rsidR="000E164C">
              <w:rPr>
                <w:rFonts w:ascii="Arial" w:hAnsi="Arial" w:cs="Arial"/>
                <w:sz w:val="20"/>
              </w:rPr>
              <w:t>learn to implement the techniques discussed in class</w:t>
            </w:r>
            <w:r>
              <w:rPr>
                <w:rFonts w:ascii="Arial" w:hAnsi="Arial" w:cs="Arial"/>
                <w:sz w:val="20"/>
              </w:rPr>
              <w:t xml:space="preserve">. Homework will be graded for </w:t>
            </w:r>
            <w:r w:rsidR="000E164C">
              <w:rPr>
                <w:rFonts w:ascii="Arial" w:hAnsi="Arial" w:cs="Arial"/>
                <w:sz w:val="20"/>
              </w:rPr>
              <w:t>participation. Students should be prepared to present the results of their homework assignment to the entire class.</w:t>
            </w:r>
            <w:r w:rsidR="00807488">
              <w:rPr>
                <w:rFonts w:ascii="Arial" w:hAnsi="Arial" w:cs="Arial"/>
                <w:sz w:val="20"/>
              </w:rPr>
              <w:t xml:space="preserve"> Students can discuss homework assignments with anyone but must have a unique, completed assignment ready to present.</w:t>
            </w:r>
          </w:p>
          <w:p w:rsidR="00444053" w:rsidRDefault="00444053" w:rsidP="00444053">
            <w:pPr>
              <w:rPr>
                <w:rFonts w:ascii="Arial" w:hAnsi="Arial" w:cs="Arial"/>
                <w:sz w:val="20"/>
              </w:rPr>
            </w:pPr>
          </w:p>
          <w:p w:rsidR="00444053" w:rsidRDefault="00444053" w:rsidP="00444053">
            <w:pPr>
              <w:rPr>
                <w:rFonts w:ascii="Arial" w:hAnsi="Arial" w:cs="Arial"/>
                <w:sz w:val="20"/>
              </w:rPr>
            </w:pPr>
            <w:r>
              <w:rPr>
                <w:rFonts w:ascii="Arial" w:hAnsi="Arial" w:cs="Arial"/>
                <w:b/>
                <w:sz w:val="20"/>
              </w:rPr>
              <w:t>Research Paper</w:t>
            </w:r>
            <w:r>
              <w:rPr>
                <w:rFonts w:ascii="Arial" w:hAnsi="Arial" w:cs="Arial"/>
                <w:sz w:val="20"/>
              </w:rPr>
              <w:t xml:space="preserve">: Students will write a research paper on a topic of their choice that is related to their </w:t>
            </w:r>
            <w:r w:rsidR="000E164C">
              <w:rPr>
                <w:rFonts w:ascii="Arial" w:hAnsi="Arial" w:cs="Arial"/>
                <w:sz w:val="20"/>
              </w:rPr>
              <w:t xml:space="preserve">research agenda and employs </w:t>
            </w:r>
            <w:r>
              <w:rPr>
                <w:rFonts w:ascii="Arial" w:hAnsi="Arial" w:cs="Arial"/>
                <w:sz w:val="20"/>
              </w:rPr>
              <w:t>the quantitative methods learned in this class.</w:t>
            </w:r>
            <w:r w:rsidR="000E164C">
              <w:rPr>
                <w:rFonts w:ascii="Arial" w:hAnsi="Arial" w:cs="Arial"/>
                <w:sz w:val="20"/>
              </w:rPr>
              <w:t xml:space="preserve"> Ideally, students should produce a paper that can either be used in their dissertation or be submitted to a peer-reviewed journal. This paper may be one written for another class, given that the student has permission from other instructor(s) the student is currently taking classes with. This paper cannot be coauthored with a professor or another student in this class.</w:t>
            </w:r>
            <w:r>
              <w:rPr>
                <w:rFonts w:ascii="Arial" w:hAnsi="Arial" w:cs="Arial"/>
                <w:sz w:val="20"/>
              </w:rPr>
              <w:t xml:space="preserve"> </w:t>
            </w:r>
          </w:p>
          <w:p w:rsidR="00444053" w:rsidRDefault="00444053" w:rsidP="00444053">
            <w:pPr>
              <w:rPr>
                <w:rFonts w:ascii="Arial" w:hAnsi="Arial" w:cs="Arial"/>
                <w:sz w:val="20"/>
              </w:rPr>
            </w:pPr>
          </w:p>
          <w:p w:rsidR="00444053" w:rsidRPr="00060777" w:rsidRDefault="000E164C" w:rsidP="00DB1BBA">
            <w:pPr>
              <w:rPr>
                <w:rFonts w:ascii="Arial" w:hAnsi="Arial" w:cs="Arial"/>
                <w:sz w:val="20"/>
              </w:rPr>
            </w:pPr>
            <w:r>
              <w:rPr>
                <w:rFonts w:ascii="Arial" w:hAnsi="Arial" w:cs="Arial"/>
                <w:b/>
                <w:sz w:val="20"/>
              </w:rPr>
              <w:t>Final Exam</w:t>
            </w:r>
            <w:r w:rsidR="00444053">
              <w:rPr>
                <w:rFonts w:ascii="Arial" w:hAnsi="Arial" w:cs="Arial"/>
                <w:sz w:val="20"/>
              </w:rPr>
              <w:t xml:space="preserve">: Students </w:t>
            </w:r>
            <w:r>
              <w:rPr>
                <w:rFonts w:ascii="Arial" w:hAnsi="Arial" w:cs="Arial"/>
                <w:sz w:val="20"/>
              </w:rPr>
              <w:t>will</w:t>
            </w:r>
            <w:r w:rsidR="0006705C">
              <w:rPr>
                <w:rFonts w:ascii="Arial" w:hAnsi="Arial" w:cs="Arial"/>
                <w:sz w:val="20"/>
              </w:rPr>
              <w:t xml:space="preserve"> have an</w:t>
            </w:r>
            <w:r w:rsidR="00DB1BBA">
              <w:rPr>
                <w:rFonts w:ascii="Arial" w:hAnsi="Arial" w:cs="Arial"/>
                <w:sz w:val="20"/>
              </w:rPr>
              <w:t xml:space="preserve"> </w:t>
            </w:r>
            <w:r w:rsidR="00087506">
              <w:rPr>
                <w:rFonts w:ascii="Arial" w:hAnsi="Arial" w:cs="Arial"/>
                <w:sz w:val="20"/>
              </w:rPr>
              <w:t xml:space="preserve">online, </w:t>
            </w:r>
            <w:r w:rsidR="00DB1BBA">
              <w:rPr>
                <w:rFonts w:ascii="Arial" w:hAnsi="Arial" w:cs="Arial"/>
                <w:sz w:val="20"/>
              </w:rPr>
              <w:t>open</w:t>
            </w:r>
            <w:r w:rsidR="0006705C">
              <w:rPr>
                <w:rFonts w:ascii="Arial" w:hAnsi="Arial" w:cs="Arial"/>
                <w:sz w:val="20"/>
              </w:rPr>
              <w:t>-book final exam.</w:t>
            </w:r>
          </w:p>
        </w:tc>
      </w:tr>
      <w:tr w:rsidR="00444053" w:rsidRPr="00C2322F" w:rsidTr="00D76428">
        <w:tc>
          <w:tcPr>
            <w:tcW w:w="10340" w:type="dxa"/>
            <w:gridSpan w:val="5"/>
            <w:shd w:val="clear" w:color="auto" w:fill="auto"/>
          </w:tcPr>
          <w:p w:rsidR="00EE4809" w:rsidRPr="00C2322F" w:rsidRDefault="00EE4809" w:rsidP="00EE4809">
            <w:pPr>
              <w:rPr>
                <w:rFonts w:ascii="Arial" w:hAnsi="Arial" w:cs="Arial"/>
                <w:b/>
                <w:sz w:val="20"/>
              </w:rPr>
            </w:pPr>
          </w:p>
        </w:tc>
      </w:tr>
      <w:tr w:rsidR="00A744F2" w:rsidRPr="00C2322F" w:rsidTr="00D76428">
        <w:tc>
          <w:tcPr>
            <w:tcW w:w="10340" w:type="dxa"/>
            <w:gridSpan w:val="5"/>
            <w:shd w:val="clear" w:color="auto" w:fill="auto"/>
          </w:tcPr>
          <w:p w:rsidR="00A744F2" w:rsidRPr="00C2322F" w:rsidRDefault="00A744F2" w:rsidP="00A744F2">
            <w:pPr>
              <w:jc w:val="center"/>
              <w:rPr>
                <w:rFonts w:ascii="Arial" w:hAnsi="Arial" w:cs="Arial"/>
                <w:b/>
                <w:sz w:val="20"/>
              </w:rPr>
            </w:pPr>
            <w:r w:rsidRPr="00A744F2">
              <w:rPr>
                <w:rFonts w:ascii="Arial" w:hAnsi="Arial" w:cs="Arial"/>
                <w:b/>
                <w:sz w:val="20"/>
              </w:rPr>
              <w:t>Coron</w:t>
            </w:r>
            <w:r>
              <w:rPr>
                <w:rFonts w:ascii="Arial" w:hAnsi="Arial" w:cs="Arial"/>
                <w:b/>
                <w:sz w:val="20"/>
              </w:rPr>
              <w:t>avirus Information for Students</w:t>
            </w:r>
          </w:p>
        </w:tc>
      </w:tr>
      <w:tr w:rsidR="00A744F2" w:rsidRPr="00C2322F" w:rsidTr="00D76428">
        <w:tc>
          <w:tcPr>
            <w:tcW w:w="10340" w:type="dxa"/>
            <w:gridSpan w:val="5"/>
            <w:shd w:val="clear" w:color="auto" w:fill="auto"/>
          </w:tcPr>
          <w:p w:rsidR="00A744F2" w:rsidRPr="00C2322F" w:rsidRDefault="00A744F2" w:rsidP="00EE4809">
            <w:pPr>
              <w:rPr>
                <w:rFonts w:ascii="Arial" w:hAnsi="Arial" w:cs="Arial"/>
                <w:b/>
                <w:sz w:val="20"/>
              </w:rPr>
            </w:pPr>
          </w:p>
        </w:tc>
      </w:tr>
      <w:tr w:rsidR="00A744F2" w:rsidRPr="00C2322F" w:rsidTr="00D76428">
        <w:tc>
          <w:tcPr>
            <w:tcW w:w="10340" w:type="dxa"/>
            <w:gridSpan w:val="5"/>
            <w:shd w:val="clear" w:color="auto" w:fill="auto"/>
          </w:tcPr>
          <w:p w:rsidR="00A744F2" w:rsidRPr="00A744F2" w:rsidRDefault="00A744F2" w:rsidP="00A744F2">
            <w:pPr>
              <w:rPr>
                <w:rFonts w:ascii="Arial" w:hAnsi="Arial" w:cs="Arial"/>
                <w:b/>
                <w:sz w:val="20"/>
              </w:rPr>
            </w:pPr>
          </w:p>
          <w:p w:rsidR="00A744F2" w:rsidRPr="00A744F2" w:rsidRDefault="00A744F2" w:rsidP="00A744F2">
            <w:pPr>
              <w:rPr>
                <w:rFonts w:ascii="Arial" w:hAnsi="Arial" w:cs="Arial"/>
                <w:sz w:val="20"/>
              </w:rPr>
            </w:pPr>
            <w:r w:rsidRPr="00A744F2">
              <w:rPr>
                <w:rFonts w:ascii="Arial" w:hAnsi="Arial" w:cs="Arial"/>
                <w:sz w:val="20"/>
              </w:rPr>
              <w:t>Face Coverings</w:t>
            </w:r>
            <w:r>
              <w:rPr>
                <w:rFonts w:ascii="Arial" w:hAnsi="Arial" w:cs="Arial"/>
                <w:sz w:val="20"/>
              </w:rPr>
              <w:t>, Social Distancing, and Sanitation</w:t>
            </w:r>
            <w:r w:rsidRPr="00A744F2">
              <w:rPr>
                <w:rFonts w:ascii="Arial" w:hAnsi="Arial" w:cs="Arial"/>
                <w:sz w:val="20"/>
              </w:rPr>
              <w:t>:</w:t>
            </w:r>
          </w:p>
          <w:p w:rsidR="00A744F2" w:rsidRPr="00A744F2" w:rsidRDefault="00A744F2" w:rsidP="00A744F2">
            <w:pPr>
              <w:rPr>
                <w:rFonts w:ascii="Arial" w:hAnsi="Arial" w:cs="Arial"/>
                <w:sz w:val="20"/>
              </w:rPr>
            </w:pPr>
          </w:p>
          <w:p w:rsidR="00A744F2" w:rsidRDefault="00A744F2" w:rsidP="00A744F2">
            <w:pPr>
              <w:rPr>
                <w:rFonts w:ascii="Arial" w:hAnsi="Arial" w:cs="Arial"/>
                <w:sz w:val="20"/>
              </w:rPr>
            </w:pPr>
            <w:r w:rsidRPr="00A744F2">
              <w:rPr>
                <w:rFonts w:ascii="Arial" w:hAnsi="Arial" w:cs="Arial"/>
                <w:sz w:val="20"/>
              </w:rPr>
              <w:t xml:space="preserve">Effective July 15, 2020, the University of Georgia—along with all University System of Georgia (USG) institutions—requires all faculty, staff, students and visitors to wear an appropriate face covering while inside campus facilities/buildings where six feet social distancing may not always be possible. Face covering use is in addition to and is not a substitute for social distancing. Anyone not using a face covering when required will be asked to wear one or must leave the area. Reasonable accommodations may be made for those who are unable to wear a face covering for documented health reasons. Students seeking an accommodation related to face coverings should contact Disability Services at </w:t>
            </w:r>
            <w:hyperlink r:id="rId8" w:history="1">
              <w:r w:rsidRPr="00BF0EF7">
                <w:rPr>
                  <w:rStyle w:val="Hyperlink"/>
                  <w:rFonts w:ascii="Arial" w:hAnsi="Arial" w:cs="Arial"/>
                  <w:sz w:val="20"/>
                </w:rPr>
                <w:t>https://drc.uga.edu/</w:t>
              </w:r>
            </w:hyperlink>
            <w:r w:rsidRPr="00A744F2">
              <w:rPr>
                <w:rFonts w:ascii="Arial" w:hAnsi="Arial" w:cs="Arial"/>
                <w:sz w:val="20"/>
              </w:rPr>
              <w:t>.</w:t>
            </w:r>
          </w:p>
          <w:p w:rsidR="00A744F2" w:rsidRDefault="00A744F2" w:rsidP="00A744F2">
            <w:pPr>
              <w:rPr>
                <w:rFonts w:ascii="Arial" w:hAnsi="Arial" w:cs="Arial"/>
                <w:sz w:val="20"/>
              </w:rPr>
            </w:pPr>
          </w:p>
          <w:p w:rsidR="00A744F2" w:rsidRPr="00A744F2" w:rsidRDefault="00A744F2" w:rsidP="00A744F2">
            <w:pPr>
              <w:rPr>
                <w:rFonts w:ascii="Arial" w:hAnsi="Arial" w:cs="Arial"/>
                <w:sz w:val="20"/>
              </w:rPr>
            </w:pPr>
            <w:r w:rsidRPr="00A744F2">
              <w:rPr>
                <w:rFonts w:ascii="Arial" w:hAnsi="Arial" w:cs="Arial"/>
                <w:sz w:val="20"/>
              </w:rPr>
              <w:t xml:space="preserve">In all public spaces in Baldwin Hall (including stairwells, halls, offices, bathrooms, classrooms, and labs), please maintain six feet between you and others. The seating capacity in your classroom has been modified to allow for social distancing. Please sit in designated, marked seats.  In all public spaces, including classrooms, you should not remove signage or re-arrange furniture, even if it appears that furniture is not being used.  To help maintain distance, please keep right, where possible.  If you enter/exit through the front doors of Baldwin, please follow the signs (and traffic) directing you through a specific set of doors. </w:t>
            </w:r>
          </w:p>
          <w:p w:rsidR="00A744F2" w:rsidRPr="00A744F2" w:rsidRDefault="00A744F2" w:rsidP="00A744F2">
            <w:pPr>
              <w:rPr>
                <w:rFonts w:ascii="Arial" w:hAnsi="Arial" w:cs="Arial"/>
                <w:sz w:val="20"/>
              </w:rPr>
            </w:pPr>
          </w:p>
          <w:p w:rsidR="00A744F2" w:rsidRPr="00A744F2" w:rsidRDefault="00A744F2" w:rsidP="00A744F2">
            <w:pPr>
              <w:rPr>
                <w:rFonts w:ascii="Arial" w:hAnsi="Arial" w:cs="Arial"/>
                <w:sz w:val="20"/>
              </w:rPr>
            </w:pPr>
            <w:r w:rsidRPr="00A744F2">
              <w:rPr>
                <w:rFonts w:ascii="Arial" w:hAnsi="Arial" w:cs="Arial"/>
                <w:sz w:val="20"/>
              </w:rPr>
              <w:t xml:space="preserve">If you want to spend some time chatting with someone, please take it outside or online. We are also requesting that you enter and exit Baldwin without delay, staying outside of the building as long as practicable before your class begins and then leaving once your class if finished.  </w:t>
            </w:r>
          </w:p>
          <w:p w:rsidR="00A744F2" w:rsidRPr="00A744F2" w:rsidRDefault="00A744F2" w:rsidP="00A744F2">
            <w:pPr>
              <w:rPr>
                <w:rFonts w:ascii="Arial" w:hAnsi="Arial" w:cs="Arial"/>
                <w:sz w:val="20"/>
              </w:rPr>
            </w:pPr>
          </w:p>
          <w:p w:rsidR="00A744F2" w:rsidRPr="00A744F2" w:rsidRDefault="00A744F2" w:rsidP="00A744F2">
            <w:pPr>
              <w:rPr>
                <w:rFonts w:ascii="Arial" w:hAnsi="Arial" w:cs="Arial"/>
                <w:sz w:val="20"/>
              </w:rPr>
            </w:pPr>
            <w:r w:rsidRPr="00A744F2">
              <w:rPr>
                <w:rFonts w:ascii="Arial" w:hAnsi="Arial" w:cs="Arial"/>
                <w:sz w:val="20"/>
              </w:rPr>
              <w:t xml:space="preserve">Cleaning and disinfecting of public spaces are important to reduce the risk of exposure to COVID-19. Classrooms are only being cleaned once-per-day. There are sanitation wipes/buckets and stands in proximity to your classroom. Prior to heading in to class, you should take a wipe from the station and wipe down all high-touch </w:t>
            </w:r>
            <w:r w:rsidRPr="00A744F2">
              <w:rPr>
                <w:rFonts w:ascii="Arial" w:hAnsi="Arial" w:cs="Arial"/>
                <w:sz w:val="20"/>
              </w:rPr>
              <w:lastRenderedPageBreak/>
              <w:t>surfaces associated with your seat. You should help further slow the spread of the virus by frequently washing your hands. Bathrooms will be cleaned frequently during the day.  On occasions that bathrooms are closed for cleaning, you may need to use those on other floors or in other buildings.  Please be conscious of the density of traffic in bathrooms and practice social distancing.</w:t>
            </w:r>
          </w:p>
          <w:p w:rsidR="00A744F2" w:rsidRPr="00A744F2" w:rsidRDefault="00A744F2" w:rsidP="00A744F2">
            <w:pPr>
              <w:rPr>
                <w:rFonts w:ascii="Arial" w:hAnsi="Arial" w:cs="Arial"/>
                <w:sz w:val="20"/>
              </w:rPr>
            </w:pPr>
          </w:p>
          <w:p w:rsidR="00A744F2" w:rsidRPr="00A744F2" w:rsidRDefault="00A744F2" w:rsidP="00A744F2">
            <w:pPr>
              <w:rPr>
                <w:rFonts w:ascii="Arial" w:hAnsi="Arial" w:cs="Arial"/>
                <w:sz w:val="20"/>
              </w:rPr>
            </w:pPr>
            <w:proofErr w:type="spellStart"/>
            <w:r w:rsidRPr="00A744F2">
              <w:rPr>
                <w:rFonts w:ascii="Arial" w:hAnsi="Arial" w:cs="Arial"/>
                <w:sz w:val="20"/>
              </w:rPr>
              <w:t>DawgCheck</w:t>
            </w:r>
            <w:proofErr w:type="spellEnd"/>
            <w:r w:rsidRPr="00A744F2">
              <w:rPr>
                <w:rFonts w:ascii="Arial" w:hAnsi="Arial" w:cs="Arial"/>
                <w:sz w:val="20"/>
              </w:rPr>
              <w:t>:</w:t>
            </w:r>
          </w:p>
          <w:p w:rsidR="00A744F2" w:rsidRPr="00A744F2" w:rsidRDefault="00A744F2" w:rsidP="00A744F2">
            <w:pPr>
              <w:rPr>
                <w:rFonts w:ascii="Arial" w:hAnsi="Arial" w:cs="Arial"/>
                <w:sz w:val="20"/>
              </w:rPr>
            </w:pPr>
          </w:p>
          <w:p w:rsidR="00A744F2" w:rsidRPr="00A744F2" w:rsidRDefault="00A744F2" w:rsidP="00A744F2">
            <w:pPr>
              <w:rPr>
                <w:rFonts w:ascii="Arial" w:hAnsi="Arial" w:cs="Arial"/>
                <w:sz w:val="20"/>
              </w:rPr>
            </w:pPr>
            <w:r w:rsidRPr="00A744F2">
              <w:rPr>
                <w:rFonts w:ascii="Arial" w:hAnsi="Arial" w:cs="Arial"/>
                <w:sz w:val="20"/>
              </w:rPr>
              <w:t xml:space="preserve">Please perform a quick symptom check each weekday on </w:t>
            </w:r>
            <w:proofErr w:type="spellStart"/>
            <w:r w:rsidRPr="00A744F2">
              <w:rPr>
                <w:rFonts w:ascii="Arial" w:hAnsi="Arial" w:cs="Arial"/>
                <w:sz w:val="20"/>
              </w:rPr>
              <w:t>DawgCheck</w:t>
            </w:r>
            <w:proofErr w:type="spellEnd"/>
            <w:r w:rsidRPr="00A744F2">
              <w:rPr>
                <w:rFonts w:ascii="Arial" w:hAnsi="Arial" w:cs="Arial"/>
                <w:sz w:val="20"/>
              </w:rPr>
              <w:t>—on the UGA app or website—whether you feel sick or not. It will help health providers monitor the health situation on campus: https://dawgcheck.uga.edu/</w:t>
            </w:r>
          </w:p>
          <w:p w:rsidR="00A744F2" w:rsidRPr="00A744F2" w:rsidRDefault="00A744F2" w:rsidP="00A744F2">
            <w:pPr>
              <w:rPr>
                <w:rFonts w:ascii="Arial" w:hAnsi="Arial" w:cs="Arial"/>
                <w:sz w:val="20"/>
              </w:rPr>
            </w:pPr>
          </w:p>
          <w:p w:rsidR="00A744F2" w:rsidRPr="00A744F2" w:rsidRDefault="00A744F2" w:rsidP="00A744F2">
            <w:pPr>
              <w:rPr>
                <w:rFonts w:ascii="Arial" w:hAnsi="Arial" w:cs="Arial"/>
                <w:sz w:val="20"/>
              </w:rPr>
            </w:pPr>
            <w:r w:rsidRPr="00A744F2">
              <w:rPr>
                <w:rFonts w:ascii="Arial" w:hAnsi="Arial" w:cs="Arial"/>
                <w:sz w:val="20"/>
              </w:rPr>
              <w:t>What do I do if I have symptoms?</w:t>
            </w:r>
          </w:p>
          <w:p w:rsidR="00A744F2" w:rsidRPr="00A744F2" w:rsidRDefault="00A744F2" w:rsidP="00A744F2">
            <w:pPr>
              <w:rPr>
                <w:rFonts w:ascii="Arial" w:hAnsi="Arial" w:cs="Arial"/>
                <w:sz w:val="20"/>
              </w:rPr>
            </w:pPr>
          </w:p>
          <w:p w:rsidR="00A744F2" w:rsidRPr="00A744F2" w:rsidRDefault="00A744F2" w:rsidP="00A744F2">
            <w:pPr>
              <w:rPr>
                <w:rFonts w:ascii="Arial" w:hAnsi="Arial" w:cs="Arial"/>
                <w:sz w:val="20"/>
              </w:rPr>
            </w:pPr>
            <w:r w:rsidRPr="00A744F2">
              <w:rPr>
                <w:rFonts w:ascii="Arial" w:hAnsi="Arial" w:cs="Arial"/>
                <w:sz w:val="20"/>
              </w:rPr>
              <w:t>Students showing symptoms should self-isolate and schedule an appointment with the University Health Center by calling 706-542-1162 (Monday-Friday, 8 a.m.-5 p.m.). Please DO NOT walk-in. For emergencies and after-hours care, see https://www.uhs.uga.edu/info/emergencies.</w:t>
            </w:r>
          </w:p>
          <w:p w:rsidR="00A744F2" w:rsidRPr="00A744F2" w:rsidRDefault="00A744F2" w:rsidP="00A744F2">
            <w:pPr>
              <w:rPr>
                <w:rFonts w:ascii="Arial" w:hAnsi="Arial" w:cs="Arial"/>
                <w:sz w:val="20"/>
              </w:rPr>
            </w:pPr>
          </w:p>
          <w:p w:rsidR="00A744F2" w:rsidRPr="00A744F2" w:rsidRDefault="00A744F2" w:rsidP="00A744F2">
            <w:pPr>
              <w:rPr>
                <w:rFonts w:ascii="Arial" w:hAnsi="Arial" w:cs="Arial"/>
                <w:sz w:val="20"/>
              </w:rPr>
            </w:pPr>
            <w:r w:rsidRPr="00A744F2">
              <w:rPr>
                <w:rFonts w:ascii="Arial" w:hAnsi="Arial" w:cs="Arial"/>
                <w:sz w:val="20"/>
              </w:rPr>
              <w:t>What do I do if I am notified that I have been exposed?</w:t>
            </w:r>
          </w:p>
          <w:p w:rsidR="00A744F2" w:rsidRPr="00A744F2" w:rsidRDefault="00A744F2" w:rsidP="00A744F2">
            <w:pPr>
              <w:rPr>
                <w:rFonts w:ascii="Arial" w:hAnsi="Arial" w:cs="Arial"/>
                <w:sz w:val="20"/>
              </w:rPr>
            </w:pPr>
          </w:p>
          <w:p w:rsidR="00A744F2" w:rsidRPr="00A744F2" w:rsidRDefault="00A744F2" w:rsidP="00A744F2">
            <w:pPr>
              <w:rPr>
                <w:rFonts w:ascii="Arial" w:hAnsi="Arial" w:cs="Arial"/>
                <w:sz w:val="20"/>
              </w:rPr>
            </w:pPr>
            <w:r w:rsidRPr="00A744F2">
              <w:rPr>
                <w:rFonts w:ascii="Arial" w:hAnsi="Arial" w:cs="Arial"/>
                <w:sz w:val="20"/>
              </w:rPr>
              <w:t xml:space="preserve">Students who learn they have been directly exposed to COVID-19 but are not showing symptoms should self-quarantine for 14 days consistent with Department of Public Health (DPH) and Centers for Disease Control and Prevention (CDC) guidelines. Please correspond with your instructor via email, with a cc: to Student Care &amp; Outreach at sco@uga.edu, to coordinate continuing your coursework while self-quarantined. If you develop symptoms, you should contact the University Health Center to make an appointment to be tested. You should continue to monitor your symptoms daily on </w:t>
            </w:r>
            <w:proofErr w:type="spellStart"/>
            <w:r w:rsidRPr="00A744F2">
              <w:rPr>
                <w:rFonts w:ascii="Arial" w:hAnsi="Arial" w:cs="Arial"/>
                <w:sz w:val="20"/>
              </w:rPr>
              <w:t>DawgCheck</w:t>
            </w:r>
            <w:proofErr w:type="spellEnd"/>
            <w:r w:rsidRPr="00A744F2">
              <w:rPr>
                <w:rFonts w:ascii="Arial" w:hAnsi="Arial" w:cs="Arial"/>
                <w:sz w:val="20"/>
              </w:rPr>
              <w:t>.</w:t>
            </w:r>
          </w:p>
          <w:p w:rsidR="00A744F2" w:rsidRPr="00A744F2" w:rsidRDefault="00A744F2" w:rsidP="00A744F2">
            <w:pPr>
              <w:rPr>
                <w:rFonts w:ascii="Arial" w:hAnsi="Arial" w:cs="Arial"/>
                <w:sz w:val="20"/>
              </w:rPr>
            </w:pPr>
          </w:p>
          <w:p w:rsidR="00A744F2" w:rsidRPr="00A744F2" w:rsidRDefault="00A744F2" w:rsidP="00A744F2">
            <w:pPr>
              <w:rPr>
                <w:rFonts w:ascii="Arial" w:hAnsi="Arial" w:cs="Arial"/>
                <w:sz w:val="20"/>
              </w:rPr>
            </w:pPr>
            <w:r w:rsidRPr="00A744F2">
              <w:rPr>
                <w:rFonts w:ascii="Arial" w:hAnsi="Arial" w:cs="Arial"/>
                <w:sz w:val="20"/>
              </w:rPr>
              <w:t>How do I get a test?</w:t>
            </w:r>
          </w:p>
          <w:p w:rsidR="00A744F2" w:rsidRPr="00A744F2" w:rsidRDefault="00A744F2" w:rsidP="00A744F2">
            <w:pPr>
              <w:rPr>
                <w:rFonts w:ascii="Arial" w:hAnsi="Arial" w:cs="Arial"/>
                <w:sz w:val="20"/>
              </w:rPr>
            </w:pPr>
          </w:p>
          <w:p w:rsidR="00A744F2" w:rsidRPr="00A744F2" w:rsidRDefault="00A744F2" w:rsidP="00A744F2">
            <w:pPr>
              <w:rPr>
                <w:rFonts w:ascii="Arial" w:hAnsi="Arial" w:cs="Arial"/>
                <w:sz w:val="20"/>
              </w:rPr>
            </w:pPr>
            <w:r w:rsidRPr="00A744F2">
              <w:rPr>
                <w:rFonts w:ascii="Arial" w:hAnsi="Arial" w:cs="Arial"/>
                <w:sz w:val="20"/>
              </w:rPr>
              <w:t>Students who are demonstrating symptoms of COVID-19 should call the University Health Center. UHC is offering testing by appointment for students; appointments may be booked by calling 706-542-1162.</w:t>
            </w:r>
          </w:p>
          <w:p w:rsidR="00A744F2" w:rsidRPr="00A744F2" w:rsidRDefault="00A744F2" w:rsidP="00A744F2">
            <w:pPr>
              <w:rPr>
                <w:rFonts w:ascii="Arial" w:hAnsi="Arial" w:cs="Arial"/>
                <w:sz w:val="20"/>
              </w:rPr>
            </w:pPr>
          </w:p>
          <w:p w:rsidR="00A744F2" w:rsidRPr="00A744F2" w:rsidRDefault="00A744F2" w:rsidP="00A744F2">
            <w:pPr>
              <w:rPr>
                <w:rFonts w:ascii="Arial" w:hAnsi="Arial" w:cs="Arial"/>
                <w:sz w:val="20"/>
              </w:rPr>
            </w:pPr>
            <w:r w:rsidRPr="00A744F2">
              <w:rPr>
                <w:rFonts w:ascii="Arial" w:hAnsi="Arial" w:cs="Arial"/>
                <w:sz w:val="20"/>
              </w:rPr>
              <w:t>UGA will also be recruiting asymptomatic students to participate in surveillance tests. Students living in residence halls, Greek housing and off-campus apartment complexes are encouraged to participate.</w:t>
            </w:r>
          </w:p>
          <w:p w:rsidR="00A744F2" w:rsidRPr="00A744F2" w:rsidRDefault="00A744F2" w:rsidP="00A744F2">
            <w:pPr>
              <w:rPr>
                <w:rFonts w:ascii="Arial" w:hAnsi="Arial" w:cs="Arial"/>
                <w:sz w:val="20"/>
              </w:rPr>
            </w:pPr>
          </w:p>
          <w:p w:rsidR="00A744F2" w:rsidRPr="00A744F2" w:rsidRDefault="00A744F2" w:rsidP="00A744F2">
            <w:pPr>
              <w:rPr>
                <w:rFonts w:ascii="Arial" w:hAnsi="Arial" w:cs="Arial"/>
                <w:sz w:val="20"/>
              </w:rPr>
            </w:pPr>
            <w:r w:rsidRPr="00A744F2">
              <w:rPr>
                <w:rFonts w:ascii="Arial" w:hAnsi="Arial" w:cs="Arial"/>
                <w:sz w:val="20"/>
              </w:rPr>
              <w:t>What do I do if I test positive?</w:t>
            </w:r>
          </w:p>
          <w:p w:rsidR="00A744F2" w:rsidRPr="00A744F2" w:rsidRDefault="00A744F2" w:rsidP="00A744F2">
            <w:pPr>
              <w:rPr>
                <w:rFonts w:ascii="Arial" w:hAnsi="Arial" w:cs="Arial"/>
                <w:sz w:val="20"/>
              </w:rPr>
            </w:pPr>
          </w:p>
          <w:p w:rsidR="00A744F2" w:rsidRPr="00C2322F" w:rsidRDefault="00A744F2" w:rsidP="00A744F2">
            <w:pPr>
              <w:rPr>
                <w:rFonts w:ascii="Arial" w:hAnsi="Arial" w:cs="Arial"/>
                <w:b/>
                <w:sz w:val="20"/>
              </w:rPr>
            </w:pPr>
            <w:r w:rsidRPr="00A744F2">
              <w:rPr>
                <w:rFonts w:ascii="Arial" w:hAnsi="Arial" w:cs="Arial"/>
                <w:sz w:val="20"/>
              </w:rPr>
              <w:t xml:space="preserve">Any student with a positive COVID-19 test is required to report the test in </w:t>
            </w:r>
            <w:proofErr w:type="spellStart"/>
            <w:r w:rsidRPr="00A744F2">
              <w:rPr>
                <w:rFonts w:ascii="Arial" w:hAnsi="Arial" w:cs="Arial"/>
                <w:sz w:val="20"/>
              </w:rPr>
              <w:t>DawgCheck</w:t>
            </w:r>
            <w:proofErr w:type="spellEnd"/>
            <w:r w:rsidRPr="00A744F2">
              <w:rPr>
                <w:rFonts w:ascii="Arial" w:hAnsi="Arial" w:cs="Arial"/>
                <w:sz w:val="20"/>
              </w:rPr>
              <w:t xml:space="preserve"> and should self-isolate immediately. Students should not attend </w:t>
            </w:r>
            <w:proofErr w:type="gramStart"/>
            <w:r w:rsidRPr="00A744F2">
              <w:rPr>
                <w:rFonts w:ascii="Arial" w:hAnsi="Arial" w:cs="Arial"/>
                <w:sz w:val="20"/>
              </w:rPr>
              <w:t>classes</w:t>
            </w:r>
            <w:proofErr w:type="gramEnd"/>
            <w:r w:rsidRPr="00A744F2">
              <w:rPr>
                <w:rFonts w:ascii="Arial" w:hAnsi="Arial" w:cs="Arial"/>
                <w:sz w:val="20"/>
              </w:rPr>
              <w:t xml:space="preserve"> in-person until the isolation period is completed. Once you report the positive test through </w:t>
            </w:r>
            <w:proofErr w:type="spellStart"/>
            <w:r w:rsidRPr="00A744F2">
              <w:rPr>
                <w:rFonts w:ascii="Arial" w:hAnsi="Arial" w:cs="Arial"/>
                <w:sz w:val="20"/>
              </w:rPr>
              <w:t>DawgCheck</w:t>
            </w:r>
            <w:proofErr w:type="spellEnd"/>
            <w:r w:rsidRPr="00A744F2">
              <w:rPr>
                <w:rFonts w:ascii="Arial" w:hAnsi="Arial" w:cs="Arial"/>
                <w:sz w:val="20"/>
              </w:rPr>
              <w:t>, UGA Student Care and Outreach will follow up with you.</w:t>
            </w:r>
          </w:p>
        </w:tc>
      </w:tr>
      <w:tr w:rsidR="00A744F2" w:rsidRPr="00C2322F" w:rsidTr="00D76428">
        <w:tc>
          <w:tcPr>
            <w:tcW w:w="10340" w:type="dxa"/>
            <w:gridSpan w:val="5"/>
            <w:shd w:val="clear" w:color="auto" w:fill="auto"/>
          </w:tcPr>
          <w:p w:rsidR="00A744F2" w:rsidRPr="00C2322F" w:rsidRDefault="00A744F2" w:rsidP="00EE4809">
            <w:pPr>
              <w:rPr>
                <w:rFonts w:ascii="Arial" w:hAnsi="Arial" w:cs="Arial"/>
                <w:b/>
                <w:sz w:val="20"/>
              </w:rPr>
            </w:pPr>
          </w:p>
        </w:tc>
      </w:tr>
      <w:tr w:rsidR="00444053" w:rsidRPr="00C2322F" w:rsidTr="00D76428">
        <w:tc>
          <w:tcPr>
            <w:tcW w:w="10340" w:type="dxa"/>
            <w:gridSpan w:val="5"/>
            <w:shd w:val="clear" w:color="auto" w:fill="auto"/>
          </w:tcPr>
          <w:p w:rsidR="00444053" w:rsidRPr="00C2322F" w:rsidRDefault="0006705C" w:rsidP="0006705C">
            <w:pPr>
              <w:jc w:val="center"/>
              <w:rPr>
                <w:rFonts w:ascii="Arial" w:hAnsi="Arial" w:cs="Arial"/>
                <w:b/>
                <w:sz w:val="20"/>
              </w:rPr>
            </w:pPr>
            <w:r w:rsidRPr="0006705C">
              <w:rPr>
                <w:rFonts w:ascii="Arial" w:hAnsi="Arial" w:cs="Arial"/>
                <w:b/>
                <w:sz w:val="20"/>
              </w:rPr>
              <w:t>Mental Health and Wellness Re</w:t>
            </w:r>
            <w:r>
              <w:rPr>
                <w:rFonts w:ascii="Arial" w:hAnsi="Arial" w:cs="Arial"/>
                <w:b/>
                <w:sz w:val="20"/>
              </w:rPr>
              <w:t>sources</w:t>
            </w:r>
          </w:p>
        </w:tc>
      </w:tr>
      <w:tr w:rsidR="00444053" w:rsidRPr="00C2322F" w:rsidTr="00D76428">
        <w:trPr>
          <w:trHeight w:val="89"/>
        </w:trPr>
        <w:tc>
          <w:tcPr>
            <w:tcW w:w="10340" w:type="dxa"/>
            <w:gridSpan w:val="5"/>
            <w:shd w:val="clear" w:color="auto" w:fill="auto"/>
          </w:tcPr>
          <w:p w:rsidR="00444053" w:rsidRPr="00C2322F" w:rsidRDefault="00444053" w:rsidP="00444053">
            <w:pPr>
              <w:rPr>
                <w:rFonts w:ascii="Arial" w:hAnsi="Arial" w:cs="Arial"/>
                <w:sz w:val="10"/>
              </w:rPr>
            </w:pPr>
          </w:p>
        </w:tc>
      </w:tr>
      <w:tr w:rsidR="00444053" w:rsidRPr="00C2322F" w:rsidTr="00D76428">
        <w:tc>
          <w:tcPr>
            <w:tcW w:w="10340" w:type="dxa"/>
            <w:gridSpan w:val="5"/>
            <w:shd w:val="clear" w:color="auto" w:fill="auto"/>
          </w:tcPr>
          <w:p w:rsidR="00C22D31" w:rsidRPr="00C22D31" w:rsidRDefault="00C22D31" w:rsidP="00C22D31">
            <w:pPr>
              <w:numPr>
                <w:ilvl w:val="0"/>
                <w:numId w:val="5"/>
              </w:numPr>
              <w:rPr>
                <w:rFonts w:ascii="Arial" w:hAnsi="Arial" w:cs="Arial"/>
                <w:sz w:val="20"/>
              </w:rPr>
            </w:pPr>
            <w:r w:rsidRPr="00C22D31">
              <w:rPr>
                <w:rFonts w:ascii="Arial" w:hAnsi="Arial" w:cs="Arial"/>
                <w:i/>
                <w:iCs/>
                <w:sz w:val="20"/>
              </w:rPr>
              <w:t>If you or someone you know needs assistance, you are encouraged to contact Student Care and Outreach in the Division of Student Affairs at 706-542-7774 or visit </w:t>
            </w:r>
            <w:hyperlink r:id="rId9" w:history="1">
              <w:r w:rsidRPr="00C22D31">
                <w:rPr>
                  <w:rStyle w:val="Hyperlink"/>
                  <w:rFonts w:ascii="Arial" w:hAnsi="Arial" w:cs="Arial"/>
                  <w:i/>
                  <w:iCs/>
                  <w:sz w:val="20"/>
                </w:rPr>
                <w:t>https://sco.uga.edu</w:t>
              </w:r>
            </w:hyperlink>
            <w:r w:rsidRPr="00C22D31">
              <w:rPr>
                <w:rFonts w:ascii="Arial" w:hAnsi="Arial" w:cs="Arial"/>
                <w:i/>
                <w:iCs/>
                <w:sz w:val="20"/>
              </w:rPr>
              <w:t>. They will help you navigate any difficult circumstances you may be facing by connecting you with the appropriate resources or services. </w:t>
            </w:r>
          </w:p>
          <w:p w:rsidR="00C22D31" w:rsidRPr="00C22D31" w:rsidRDefault="00C22D31" w:rsidP="00C22D31">
            <w:pPr>
              <w:numPr>
                <w:ilvl w:val="0"/>
                <w:numId w:val="5"/>
              </w:numPr>
              <w:rPr>
                <w:rFonts w:ascii="Arial" w:hAnsi="Arial" w:cs="Arial"/>
                <w:sz w:val="20"/>
              </w:rPr>
            </w:pPr>
            <w:r w:rsidRPr="00C22D31">
              <w:rPr>
                <w:rFonts w:ascii="Arial" w:hAnsi="Arial" w:cs="Arial"/>
                <w:i/>
                <w:iCs/>
                <w:sz w:val="20"/>
              </w:rPr>
              <w:t>UGA has several resources for a student seeking mental health services (</w:t>
            </w:r>
            <w:hyperlink r:id="rId10" w:history="1">
              <w:r w:rsidRPr="00C22D31">
                <w:rPr>
                  <w:rStyle w:val="Hyperlink"/>
                  <w:rFonts w:ascii="Arial" w:hAnsi="Arial" w:cs="Arial"/>
                  <w:i/>
                  <w:iCs/>
                  <w:sz w:val="20"/>
                </w:rPr>
                <w:t>https://www.uhs.uga.edu/bewelluga/bewelluga</w:t>
              </w:r>
            </w:hyperlink>
            <w:r w:rsidRPr="00C22D31">
              <w:rPr>
                <w:rFonts w:ascii="Arial" w:hAnsi="Arial" w:cs="Arial"/>
                <w:i/>
                <w:iCs/>
                <w:sz w:val="20"/>
              </w:rPr>
              <w:t>) or crisis support (</w:t>
            </w:r>
            <w:hyperlink r:id="rId11" w:history="1">
              <w:r w:rsidRPr="00C22D31">
                <w:rPr>
                  <w:rStyle w:val="Hyperlink"/>
                  <w:rFonts w:ascii="Arial" w:hAnsi="Arial" w:cs="Arial"/>
                  <w:i/>
                  <w:iCs/>
                  <w:sz w:val="20"/>
                </w:rPr>
                <w:t>https://www.uhs.uga.edu/info/emergencies</w:t>
              </w:r>
            </w:hyperlink>
            <w:r w:rsidRPr="00C22D31">
              <w:rPr>
                <w:rFonts w:ascii="Arial" w:hAnsi="Arial" w:cs="Arial"/>
                <w:i/>
                <w:iCs/>
                <w:sz w:val="20"/>
              </w:rPr>
              <w:t>). </w:t>
            </w:r>
          </w:p>
          <w:p w:rsidR="00C22D31" w:rsidRPr="00C22D31" w:rsidRDefault="00C22D31" w:rsidP="00C22D31">
            <w:pPr>
              <w:numPr>
                <w:ilvl w:val="0"/>
                <w:numId w:val="5"/>
              </w:numPr>
              <w:rPr>
                <w:rFonts w:ascii="Arial" w:hAnsi="Arial" w:cs="Arial"/>
                <w:sz w:val="20"/>
              </w:rPr>
            </w:pPr>
            <w:r w:rsidRPr="00C22D31">
              <w:rPr>
                <w:rFonts w:ascii="Arial" w:hAnsi="Arial" w:cs="Arial"/>
                <w:i/>
                <w:iCs/>
                <w:sz w:val="20"/>
              </w:rPr>
              <w:t xml:space="preserve">If you need help managing stress anxiety, relationships, etc., please visit </w:t>
            </w:r>
            <w:proofErr w:type="spellStart"/>
            <w:r w:rsidRPr="00C22D31">
              <w:rPr>
                <w:rFonts w:ascii="Arial" w:hAnsi="Arial" w:cs="Arial"/>
                <w:i/>
                <w:iCs/>
                <w:sz w:val="20"/>
              </w:rPr>
              <w:t>BeWellUGA</w:t>
            </w:r>
            <w:proofErr w:type="spellEnd"/>
            <w:r w:rsidRPr="00C22D31">
              <w:rPr>
                <w:rFonts w:ascii="Arial" w:hAnsi="Arial" w:cs="Arial"/>
                <w:i/>
                <w:iCs/>
                <w:sz w:val="20"/>
              </w:rPr>
              <w:t xml:space="preserve"> (</w:t>
            </w:r>
            <w:hyperlink r:id="rId12" w:history="1">
              <w:r w:rsidRPr="00C22D31">
                <w:rPr>
                  <w:rStyle w:val="Hyperlink"/>
                  <w:rFonts w:ascii="Arial" w:hAnsi="Arial" w:cs="Arial"/>
                  <w:i/>
                  <w:iCs/>
                  <w:sz w:val="20"/>
                </w:rPr>
                <w:t>https://www.uhs.uga.edu/bewelluga/bewelluga</w:t>
              </w:r>
            </w:hyperlink>
            <w:r w:rsidRPr="00C22D31">
              <w:rPr>
                <w:rFonts w:ascii="Arial" w:hAnsi="Arial" w:cs="Arial"/>
                <w:i/>
                <w:iCs/>
                <w:sz w:val="20"/>
              </w:rPr>
              <w:t>) for a list of FREE workshops, classes, mentoring, and health coaching led by licensed clinicians and health educators in the University Health Center.</w:t>
            </w:r>
          </w:p>
          <w:p w:rsidR="00444053" w:rsidRPr="00C22D31" w:rsidRDefault="00C22D31" w:rsidP="00444053">
            <w:pPr>
              <w:numPr>
                <w:ilvl w:val="0"/>
                <w:numId w:val="5"/>
              </w:numPr>
              <w:rPr>
                <w:rFonts w:ascii="Arial" w:hAnsi="Arial" w:cs="Arial"/>
                <w:sz w:val="20"/>
              </w:rPr>
            </w:pPr>
            <w:r w:rsidRPr="00C22D31">
              <w:rPr>
                <w:rFonts w:ascii="Arial" w:hAnsi="Arial" w:cs="Arial"/>
                <w:i/>
                <w:iCs/>
                <w:sz w:val="20"/>
              </w:rPr>
              <w:t>Additional resources can be accessed through the UGA App.</w:t>
            </w:r>
          </w:p>
        </w:tc>
      </w:tr>
      <w:tr w:rsidR="00444053" w:rsidRPr="00C2322F" w:rsidTr="00D76428">
        <w:tc>
          <w:tcPr>
            <w:tcW w:w="10340" w:type="dxa"/>
            <w:gridSpan w:val="5"/>
            <w:shd w:val="clear" w:color="auto" w:fill="auto"/>
          </w:tcPr>
          <w:p w:rsidR="00444053" w:rsidRPr="00C2322F" w:rsidRDefault="00444053" w:rsidP="00444053">
            <w:pPr>
              <w:rPr>
                <w:rFonts w:ascii="Arial" w:hAnsi="Arial" w:cs="Arial"/>
                <w:sz w:val="20"/>
              </w:rPr>
            </w:pPr>
          </w:p>
        </w:tc>
      </w:tr>
      <w:tr w:rsidR="00444053" w:rsidRPr="00C2322F" w:rsidTr="00D76428">
        <w:tc>
          <w:tcPr>
            <w:tcW w:w="10340" w:type="dxa"/>
            <w:gridSpan w:val="5"/>
            <w:shd w:val="clear" w:color="auto" w:fill="auto"/>
          </w:tcPr>
          <w:p w:rsidR="00444053" w:rsidRPr="00163629" w:rsidRDefault="00444053" w:rsidP="00444053">
            <w:pPr>
              <w:jc w:val="center"/>
              <w:rPr>
                <w:rFonts w:ascii="Arial" w:hAnsi="Arial" w:cs="Arial"/>
                <w:b/>
                <w:sz w:val="20"/>
              </w:rPr>
            </w:pPr>
            <w:r w:rsidRPr="00C2322F">
              <w:rPr>
                <w:rFonts w:ascii="Arial" w:hAnsi="Arial" w:cs="Arial"/>
                <w:b/>
                <w:sz w:val="20"/>
              </w:rPr>
              <w:t>Academic Integrity</w:t>
            </w:r>
          </w:p>
        </w:tc>
      </w:tr>
      <w:tr w:rsidR="00444053" w:rsidRPr="00C2322F" w:rsidTr="00D76428">
        <w:trPr>
          <w:trHeight w:val="89"/>
        </w:trPr>
        <w:tc>
          <w:tcPr>
            <w:tcW w:w="10340" w:type="dxa"/>
            <w:gridSpan w:val="5"/>
            <w:shd w:val="clear" w:color="auto" w:fill="auto"/>
          </w:tcPr>
          <w:p w:rsidR="00444053" w:rsidRPr="00C2322F" w:rsidRDefault="00444053" w:rsidP="00444053">
            <w:pPr>
              <w:rPr>
                <w:rFonts w:ascii="Arial" w:hAnsi="Arial" w:cs="Arial"/>
                <w:sz w:val="10"/>
              </w:rPr>
            </w:pPr>
          </w:p>
        </w:tc>
      </w:tr>
      <w:tr w:rsidR="00444053" w:rsidRPr="00C2322F" w:rsidTr="00D76428">
        <w:tc>
          <w:tcPr>
            <w:tcW w:w="10340" w:type="dxa"/>
            <w:gridSpan w:val="5"/>
            <w:shd w:val="clear" w:color="auto" w:fill="auto"/>
          </w:tcPr>
          <w:p w:rsidR="00C22D31" w:rsidRDefault="00C22D31" w:rsidP="00170F91">
            <w:pPr>
              <w:rPr>
                <w:rFonts w:ascii="Arial" w:hAnsi="Arial" w:cs="Arial"/>
                <w:sz w:val="20"/>
              </w:rPr>
            </w:pPr>
            <w:r w:rsidRPr="00C22D31">
              <w:rPr>
                <w:rFonts w:ascii="Arial" w:hAnsi="Arial" w:cs="Arial"/>
                <w:sz w:val="20"/>
              </w:rPr>
              <w:t xml:space="preserve">UGA Student Honor Code: "I will be academically honest in all of my academic work and will not tolerate academic dishonesty of others." </w:t>
            </w:r>
          </w:p>
          <w:p w:rsidR="00C22D31" w:rsidRDefault="00C22D31" w:rsidP="00170F91">
            <w:pPr>
              <w:rPr>
                <w:rFonts w:ascii="Arial" w:hAnsi="Arial" w:cs="Arial"/>
                <w:sz w:val="20"/>
              </w:rPr>
            </w:pPr>
          </w:p>
          <w:p w:rsidR="00444053" w:rsidRPr="00163629" w:rsidRDefault="0006705C" w:rsidP="006936F6">
            <w:pPr>
              <w:rPr>
                <w:rFonts w:ascii="Arial" w:hAnsi="Arial" w:cs="Arial"/>
                <w:sz w:val="20"/>
              </w:rPr>
            </w:pPr>
            <w:r>
              <w:rPr>
                <w:rFonts w:ascii="Arial" w:hAnsi="Arial" w:cs="Arial"/>
                <w:sz w:val="20"/>
              </w:rPr>
              <w:lastRenderedPageBreak/>
              <w:t>In this course, academic dishonesty could includ</w:t>
            </w:r>
            <w:r w:rsidR="006936F6">
              <w:rPr>
                <w:rFonts w:ascii="Arial" w:hAnsi="Arial" w:cs="Arial"/>
                <w:sz w:val="20"/>
              </w:rPr>
              <w:t xml:space="preserve">e plagiarism and unauthorized assistance. </w:t>
            </w:r>
            <w:r w:rsidR="00C22D31" w:rsidRPr="00C22D31">
              <w:rPr>
                <w:rFonts w:ascii="Arial" w:hAnsi="Arial" w:cs="Arial"/>
                <w:sz w:val="20"/>
              </w:rPr>
              <w:t>A Culture of Honesty, the University's policy and procedures for handling cases of suspected dishonesty, c</w:t>
            </w:r>
            <w:r w:rsidR="00C22D31">
              <w:rPr>
                <w:rFonts w:ascii="Arial" w:hAnsi="Arial" w:cs="Arial"/>
                <w:sz w:val="20"/>
              </w:rPr>
              <w:t xml:space="preserve">an be found at </w:t>
            </w:r>
            <w:hyperlink r:id="rId13" w:history="1">
              <w:r w:rsidR="00C22D31" w:rsidRPr="00D247CB">
                <w:rPr>
                  <w:rStyle w:val="Hyperlink"/>
                  <w:rFonts w:ascii="Arial" w:hAnsi="Arial" w:cs="Arial"/>
                  <w:sz w:val="20"/>
                </w:rPr>
                <w:t>www.uga.edu/ovpi</w:t>
              </w:r>
            </w:hyperlink>
            <w:r w:rsidR="00C22D31">
              <w:rPr>
                <w:rFonts w:ascii="Arial" w:hAnsi="Arial" w:cs="Arial"/>
                <w:sz w:val="20"/>
              </w:rPr>
              <w:t xml:space="preserve"> .</w:t>
            </w:r>
          </w:p>
        </w:tc>
      </w:tr>
      <w:tr w:rsidR="00444053" w:rsidTr="007C272B">
        <w:tc>
          <w:tcPr>
            <w:tcW w:w="10340" w:type="dxa"/>
            <w:gridSpan w:val="5"/>
            <w:shd w:val="clear" w:color="auto" w:fill="auto"/>
          </w:tcPr>
          <w:p w:rsidR="00444053" w:rsidRDefault="00444053" w:rsidP="00444053">
            <w:pPr>
              <w:jc w:val="center"/>
              <w:rPr>
                <w:rFonts w:ascii="Arial" w:hAnsi="Arial" w:cs="Arial"/>
                <w:b/>
                <w:sz w:val="20"/>
              </w:rPr>
            </w:pPr>
          </w:p>
        </w:tc>
      </w:tr>
      <w:tr w:rsidR="00444053" w:rsidTr="007C272B">
        <w:tc>
          <w:tcPr>
            <w:tcW w:w="10340" w:type="dxa"/>
            <w:gridSpan w:val="5"/>
            <w:shd w:val="clear" w:color="auto" w:fill="auto"/>
          </w:tcPr>
          <w:p w:rsidR="00444053" w:rsidRDefault="00444053" w:rsidP="00444053">
            <w:pPr>
              <w:jc w:val="center"/>
              <w:rPr>
                <w:rFonts w:ascii="Arial" w:hAnsi="Arial" w:cs="Arial"/>
                <w:b/>
                <w:sz w:val="20"/>
              </w:rPr>
            </w:pPr>
            <w:r>
              <w:rPr>
                <w:rFonts w:ascii="Arial" w:hAnsi="Arial" w:cs="Arial"/>
                <w:b/>
                <w:sz w:val="20"/>
              </w:rPr>
              <w:t>Syllabus as a Contract</w:t>
            </w:r>
          </w:p>
        </w:tc>
      </w:tr>
      <w:tr w:rsidR="00444053" w:rsidRPr="006C6BF2" w:rsidTr="007C272B">
        <w:tc>
          <w:tcPr>
            <w:tcW w:w="10340" w:type="dxa"/>
            <w:gridSpan w:val="5"/>
            <w:shd w:val="clear" w:color="auto" w:fill="auto"/>
          </w:tcPr>
          <w:p w:rsidR="00444053" w:rsidRPr="006C6BF2" w:rsidRDefault="00444053" w:rsidP="00444053">
            <w:pPr>
              <w:rPr>
                <w:rFonts w:ascii="Arial" w:hAnsi="Arial" w:cs="Arial"/>
                <w:sz w:val="20"/>
              </w:rPr>
            </w:pPr>
            <w:r>
              <w:rPr>
                <w:rFonts w:ascii="Arial" w:hAnsi="Arial" w:cs="Arial"/>
                <w:sz w:val="20"/>
              </w:rPr>
              <w:t>This syllabus is a contract between the professor and the individual student. Every student in this class receives an identical syllabus; therefore, every student in this class will be taught and evaluated in the same manner. This syllabus is unique to this class; therefore, the students in this class may not be taught and evaluated as students in other sections of this class, past or present, even if taught by the same professor.</w:t>
            </w:r>
          </w:p>
        </w:tc>
      </w:tr>
      <w:tr w:rsidR="00444053" w:rsidTr="007C272B">
        <w:tc>
          <w:tcPr>
            <w:tcW w:w="10340" w:type="dxa"/>
            <w:gridSpan w:val="5"/>
            <w:shd w:val="clear" w:color="auto" w:fill="auto"/>
          </w:tcPr>
          <w:p w:rsidR="00444053" w:rsidRDefault="00444053" w:rsidP="00444053">
            <w:pPr>
              <w:jc w:val="center"/>
              <w:rPr>
                <w:rFonts w:ascii="Arial" w:hAnsi="Arial" w:cs="Arial"/>
                <w:b/>
                <w:sz w:val="20"/>
              </w:rPr>
            </w:pPr>
          </w:p>
        </w:tc>
      </w:tr>
      <w:tr w:rsidR="00444053" w:rsidRPr="00B0295F" w:rsidTr="007C272B">
        <w:tc>
          <w:tcPr>
            <w:tcW w:w="10340" w:type="dxa"/>
            <w:gridSpan w:val="5"/>
            <w:shd w:val="clear" w:color="auto" w:fill="auto"/>
          </w:tcPr>
          <w:p w:rsidR="00444053" w:rsidRPr="00B0295F" w:rsidRDefault="00444053" w:rsidP="00444053">
            <w:pPr>
              <w:jc w:val="center"/>
              <w:rPr>
                <w:rFonts w:ascii="Arial" w:hAnsi="Arial" w:cs="Arial"/>
                <w:b/>
                <w:sz w:val="20"/>
              </w:rPr>
            </w:pPr>
            <w:r>
              <w:rPr>
                <w:rFonts w:ascii="Arial" w:hAnsi="Arial" w:cs="Arial"/>
                <w:b/>
                <w:sz w:val="20"/>
              </w:rPr>
              <w:t>A Word of Thanks</w:t>
            </w:r>
          </w:p>
        </w:tc>
      </w:tr>
      <w:tr w:rsidR="00444053" w:rsidRPr="00B0295F" w:rsidTr="007C272B">
        <w:tc>
          <w:tcPr>
            <w:tcW w:w="10340" w:type="dxa"/>
            <w:gridSpan w:val="5"/>
            <w:shd w:val="clear" w:color="auto" w:fill="auto"/>
          </w:tcPr>
          <w:p w:rsidR="00444053" w:rsidRDefault="00444053" w:rsidP="00444053">
            <w:pPr>
              <w:rPr>
                <w:rFonts w:ascii="Arial" w:hAnsi="Arial" w:cs="Arial"/>
                <w:sz w:val="20"/>
              </w:rPr>
            </w:pPr>
            <w:r>
              <w:rPr>
                <w:rFonts w:ascii="Arial" w:hAnsi="Arial" w:cs="Arial"/>
                <w:sz w:val="20"/>
              </w:rPr>
              <w:t xml:space="preserve">I appreciate the help of </w:t>
            </w:r>
            <w:r w:rsidR="000E164C">
              <w:rPr>
                <w:rFonts w:ascii="Arial" w:hAnsi="Arial" w:cs="Arial"/>
                <w:sz w:val="20"/>
              </w:rPr>
              <w:t>my peers who contributed to the creation of this syllabus</w:t>
            </w:r>
            <w:r>
              <w:rPr>
                <w:rFonts w:ascii="Arial" w:hAnsi="Arial" w:cs="Arial"/>
                <w:sz w:val="20"/>
              </w:rPr>
              <w:t>:</w:t>
            </w:r>
            <w:r w:rsidR="000E164C">
              <w:rPr>
                <w:rFonts w:ascii="Arial" w:hAnsi="Arial" w:cs="Arial"/>
                <w:sz w:val="20"/>
              </w:rPr>
              <w:t xml:space="preserve"> Scott Cook</w:t>
            </w:r>
            <w:r>
              <w:rPr>
                <w:rFonts w:ascii="Arial" w:hAnsi="Arial" w:cs="Arial"/>
                <w:sz w:val="20"/>
              </w:rPr>
              <w:t xml:space="preserve">, Guy Whitten, </w:t>
            </w:r>
            <w:r w:rsidR="000E164C">
              <w:rPr>
                <w:rFonts w:ascii="Arial" w:hAnsi="Arial" w:cs="Arial"/>
                <w:sz w:val="20"/>
              </w:rPr>
              <w:t>Clayton Webb, and Andrew Philips.</w:t>
            </w:r>
          </w:p>
          <w:p w:rsidR="00444053" w:rsidRPr="00B0295F" w:rsidRDefault="00444053" w:rsidP="00444053">
            <w:pPr>
              <w:rPr>
                <w:rFonts w:ascii="Arial" w:hAnsi="Arial" w:cs="Arial"/>
                <w:sz w:val="20"/>
              </w:rPr>
            </w:pPr>
            <w:r>
              <w:rPr>
                <w:rFonts w:ascii="Arial" w:hAnsi="Arial" w:cs="Arial"/>
                <w:sz w:val="20"/>
              </w:rPr>
              <w:t>That being said, this syllabus and the course materials referenced in it is the intellectual property of the instructor and subject to copyright law. Do not reproduce any course materials without explicit written permission.</w:t>
            </w:r>
          </w:p>
        </w:tc>
      </w:tr>
    </w:tbl>
    <w:p w:rsidR="00AB508D" w:rsidRDefault="00AB508D"/>
    <w:p w:rsidR="00AB508D" w:rsidRDefault="00AB508D">
      <w:r>
        <w:br w:type="page"/>
      </w:r>
    </w:p>
    <w:tbl>
      <w:tblPr>
        <w:tblW w:w="10340" w:type="dxa"/>
        <w:tblLayout w:type="fixed"/>
        <w:tblLook w:val="00A0" w:firstRow="1" w:lastRow="0" w:firstColumn="1" w:lastColumn="0" w:noHBand="0" w:noVBand="0"/>
      </w:tblPr>
      <w:tblGrid>
        <w:gridCol w:w="10340"/>
      </w:tblGrid>
      <w:tr w:rsidR="00B0295F" w:rsidRPr="00C2322F" w:rsidTr="00D76428">
        <w:tc>
          <w:tcPr>
            <w:tcW w:w="10340" w:type="dxa"/>
            <w:shd w:val="clear" w:color="auto" w:fill="auto"/>
          </w:tcPr>
          <w:p w:rsidR="00B0295F" w:rsidRPr="00C2322F" w:rsidRDefault="001F35E9" w:rsidP="0006705C">
            <w:pPr>
              <w:jc w:val="center"/>
              <w:rPr>
                <w:rFonts w:ascii="Arial" w:hAnsi="Arial" w:cs="Arial"/>
                <w:sz w:val="20"/>
              </w:rPr>
            </w:pPr>
            <w:r>
              <w:rPr>
                <w:rFonts w:ascii="Arial" w:hAnsi="Arial" w:cs="Arial"/>
                <w:b/>
                <w:sz w:val="20"/>
              </w:rPr>
              <w:lastRenderedPageBreak/>
              <w:t>Tentative</w:t>
            </w:r>
            <w:r w:rsidR="00130F15">
              <w:rPr>
                <w:rFonts w:ascii="Arial" w:hAnsi="Arial" w:cs="Arial"/>
                <w:b/>
                <w:sz w:val="20"/>
              </w:rPr>
              <w:t xml:space="preserve"> </w:t>
            </w:r>
            <w:r w:rsidR="00B0295F">
              <w:rPr>
                <w:rFonts w:ascii="Arial" w:hAnsi="Arial" w:cs="Arial"/>
                <w:b/>
                <w:sz w:val="20"/>
              </w:rPr>
              <w:t>Course Calendar</w:t>
            </w:r>
          </w:p>
        </w:tc>
      </w:tr>
      <w:tr w:rsidR="00B0295F" w:rsidRPr="00C2322F" w:rsidTr="00D76428">
        <w:tc>
          <w:tcPr>
            <w:tcW w:w="10340" w:type="dxa"/>
            <w:shd w:val="clear" w:color="auto" w:fill="auto"/>
          </w:tcPr>
          <w:p w:rsidR="00B0295F" w:rsidRPr="00C2322F" w:rsidRDefault="00B0295F" w:rsidP="00884395">
            <w:pPr>
              <w:rPr>
                <w:rFonts w:ascii="Arial" w:hAnsi="Arial" w:cs="Arial"/>
                <w:sz w:val="20"/>
              </w:rPr>
            </w:pPr>
          </w:p>
        </w:tc>
      </w:tr>
      <w:tr w:rsidR="0006705C" w:rsidRPr="00C2322F" w:rsidTr="00D76428">
        <w:tc>
          <w:tcPr>
            <w:tcW w:w="10340" w:type="dxa"/>
            <w:shd w:val="clear" w:color="auto" w:fill="auto"/>
          </w:tcPr>
          <w:p w:rsidR="0006705C" w:rsidRPr="00C2322F" w:rsidRDefault="0006705C" w:rsidP="00884395">
            <w:pPr>
              <w:rPr>
                <w:rFonts w:ascii="Arial" w:hAnsi="Arial" w:cs="Arial"/>
                <w:sz w:val="20"/>
              </w:rPr>
            </w:pPr>
          </w:p>
        </w:tc>
      </w:tr>
      <w:tr w:rsidR="00884395" w:rsidRPr="00C2322F" w:rsidTr="00D76428">
        <w:tc>
          <w:tcPr>
            <w:tcW w:w="10340" w:type="dxa"/>
            <w:shd w:val="clear" w:color="auto" w:fill="auto"/>
          </w:tcPr>
          <w:p w:rsidR="008B6282" w:rsidRPr="008B6282" w:rsidRDefault="00807488" w:rsidP="00B0295F">
            <w:pPr>
              <w:rPr>
                <w:rFonts w:ascii="Arial" w:hAnsi="Arial" w:cs="Arial"/>
                <w:b/>
                <w:sz w:val="22"/>
                <w:u w:val="single"/>
              </w:rPr>
            </w:pPr>
            <w:r>
              <w:rPr>
                <w:rFonts w:ascii="Arial" w:hAnsi="Arial" w:cs="Arial"/>
                <w:b/>
                <w:sz w:val="20"/>
                <w:u w:val="single"/>
              </w:rPr>
              <w:t>Modelling Dependence</w:t>
            </w:r>
            <w:r w:rsidR="00E70B19">
              <w:rPr>
                <w:rFonts w:ascii="Arial" w:hAnsi="Arial" w:cs="Arial"/>
                <w:b/>
                <w:sz w:val="20"/>
                <w:u w:val="single"/>
              </w:rPr>
              <w:t xml:space="preserve"> in a Single Dimension</w:t>
            </w:r>
          </w:p>
          <w:p w:rsidR="00B0295F" w:rsidRPr="00A16AB6" w:rsidRDefault="00B0295F" w:rsidP="00B0295F">
            <w:pPr>
              <w:rPr>
                <w:rFonts w:ascii="Arial" w:hAnsi="Arial" w:cs="Arial"/>
                <w:b/>
                <w:sz w:val="20"/>
              </w:rPr>
            </w:pPr>
            <w:r w:rsidRPr="00A16AB6">
              <w:rPr>
                <w:rFonts w:ascii="Arial" w:hAnsi="Arial" w:cs="Arial"/>
                <w:b/>
                <w:sz w:val="20"/>
              </w:rPr>
              <w:t>Week 1:</w:t>
            </w:r>
            <w:r>
              <w:rPr>
                <w:rFonts w:ascii="Arial" w:hAnsi="Arial" w:cs="Arial"/>
                <w:b/>
                <w:sz w:val="20"/>
              </w:rPr>
              <w:t xml:space="preserve"> </w:t>
            </w:r>
            <w:r w:rsidR="00807488">
              <w:rPr>
                <w:rFonts w:ascii="Arial" w:hAnsi="Arial" w:cs="Arial"/>
                <w:b/>
                <w:sz w:val="20"/>
              </w:rPr>
              <w:t>Review and Notation</w:t>
            </w:r>
          </w:p>
          <w:p w:rsidR="00E61B48" w:rsidRDefault="00174639" w:rsidP="005565CB">
            <w:pPr>
              <w:rPr>
                <w:rFonts w:ascii="Arial" w:hAnsi="Arial" w:cs="Arial"/>
                <w:sz w:val="20"/>
              </w:rPr>
            </w:pPr>
            <w:r>
              <w:rPr>
                <w:rFonts w:ascii="Arial" w:hAnsi="Arial" w:cs="Arial"/>
                <w:sz w:val="20"/>
              </w:rPr>
              <w:t>Pickup, Chapter 1</w:t>
            </w:r>
          </w:p>
          <w:p w:rsidR="00E61B48" w:rsidRDefault="00E61B48" w:rsidP="005565CB">
            <w:pPr>
              <w:rPr>
                <w:rFonts w:ascii="Arial" w:hAnsi="Arial" w:cs="Arial"/>
                <w:sz w:val="20"/>
              </w:rPr>
            </w:pPr>
            <w:proofErr w:type="spellStart"/>
            <w:r>
              <w:rPr>
                <w:rFonts w:ascii="Arial" w:hAnsi="Arial" w:cs="Arial"/>
                <w:sz w:val="20"/>
              </w:rPr>
              <w:t>Darmofal</w:t>
            </w:r>
            <w:proofErr w:type="spellEnd"/>
            <w:r>
              <w:rPr>
                <w:rFonts w:ascii="Arial" w:hAnsi="Arial" w:cs="Arial"/>
                <w:sz w:val="20"/>
              </w:rPr>
              <w:t>, Chapter 2</w:t>
            </w:r>
          </w:p>
          <w:p w:rsidR="002033B0" w:rsidRDefault="002033B0" w:rsidP="002033B0">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Fingleton</w:t>
            </w:r>
            <w:proofErr w:type="spellEnd"/>
            <w:r>
              <w:rPr>
                <w:rFonts w:ascii="Arial" w:hAnsi="Arial" w:cs="Arial"/>
                <w:color w:val="222222"/>
                <w:sz w:val="20"/>
                <w:szCs w:val="20"/>
                <w:shd w:val="clear" w:color="auto" w:fill="FFFFFF"/>
              </w:rPr>
              <w:t xml:space="preserve">, Bernard. "Spatial </w:t>
            </w:r>
            <w:proofErr w:type="spellStart"/>
            <w:r>
              <w:rPr>
                <w:rFonts w:ascii="Arial" w:hAnsi="Arial" w:cs="Arial"/>
                <w:color w:val="222222"/>
                <w:sz w:val="20"/>
                <w:szCs w:val="20"/>
                <w:shd w:val="clear" w:color="auto" w:fill="FFFFFF"/>
              </w:rPr>
              <w:t>autoregression</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Geographical Analysis</w:t>
            </w:r>
            <w:r>
              <w:rPr>
                <w:rFonts w:ascii="Arial" w:hAnsi="Arial" w:cs="Arial"/>
                <w:color w:val="222222"/>
                <w:sz w:val="20"/>
                <w:szCs w:val="20"/>
                <w:shd w:val="clear" w:color="auto" w:fill="FFFFFF"/>
              </w:rPr>
              <w:t> 41(4): 385-391.</w:t>
            </w:r>
          </w:p>
          <w:p w:rsidR="007C2C4A" w:rsidRDefault="00B0295F" w:rsidP="005565CB">
            <w:pPr>
              <w:rPr>
                <w:rFonts w:ascii="Arial" w:hAnsi="Arial" w:cs="Arial"/>
                <w:b/>
                <w:sz w:val="20"/>
              </w:rPr>
            </w:pPr>
            <w:r>
              <w:rPr>
                <w:rFonts w:ascii="Arial" w:hAnsi="Arial" w:cs="Arial"/>
                <w:sz w:val="20"/>
              </w:rPr>
              <w:br/>
            </w:r>
            <w:r w:rsidR="005565CB" w:rsidRPr="00A16AB6">
              <w:rPr>
                <w:rFonts w:ascii="Arial" w:hAnsi="Arial" w:cs="Arial"/>
                <w:b/>
                <w:sz w:val="20"/>
              </w:rPr>
              <w:t xml:space="preserve">Week 2: </w:t>
            </w:r>
            <w:r w:rsidR="00807488">
              <w:rPr>
                <w:rFonts w:ascii="Arial" w:hAnsi="Arial" w:cs="Arial"/>
                <w:b/>
                <w:sz w:val="20"/>
              </w:rPr>
              <w:t>Autocorrelation: Diagnosis and Hotfixes</w:t>
            </w:r>
          </w:p>
          <w:p w:rsidR="00E61B48" w:rsidRDefault="00E61B48" w:rsidP="005565CB">
            <w:pPr>
              <w:rPr>
                <w:rFonts w:ascii="Arial" w:hAnsi="Arial" w:cs="Arial"/>
                <w:sz w:val="20"/>
              </w:rPr>
            </w:pPr>
            <w:r>
              <w:rPr>
                <w:rFonts w:ascii="Arial" w:hAnsi="Arial" w:cs="Arial"/>
                <w:sz w:val="20"/>
              </w:rPr>
              <w:t xml:space="preserve">Pickup, Chapter </w:t>
            </w:r>
            <w:r w:rsidR="00174639">
              <w:rPr>
                <w:rFonts w:ascii="Arial" w:hAnsi="Arial" w:cs="Arial"/>
                <w:sz w:val="20"/>
              </w:rPr>
              <w:t>2-</w:t>
            </w:r>
            <w:r>
              <w:rPr>
                <w:rFonts w:ascii="Arial" w:hAnsi="Arial" w:cs="Arial"/>
                <w:sz w:val="20"/>
              </w:rPr>
              <w:t>3</w:t>
            </w:r>
          </w:p>
          <w:p w:rsidR="00E61B48" w:rsidRPr="00E61B48" w:rsidRDefault="00F0176F" w:rsidP="005565CB">
            <w:pPr>
              <w:rPr>
                <w:rFonts w:ascii="Arial" w:hAnsi="Arial" w:cs="Arial"/>
                <w:sz w:val="20"/>
              </w:rPr>
            </w:pPr>
            <w:proofErr w:type="spellStart"/>
            <w:r>
              <w:rPr>
                <w:rFonts w:ascii="Arial" w:hAnsi="Arial" w:cs="Arial"/>
                <w:sz w:val="20"/>
              </w:rPr>
              <w:t>Darmofal</w:t>
            </w:r>
            <w:proofErr w:type="spellEnd"/>
            <w:r>
              <w:rPr>
                <w:rFonts w:ascii="Arial" w:hAnsi="Arial" w:cs="Arial"/>
                <w:sz w:val="20"/>
              </w:rPr>
              <w:t xml:space="preserve">, Chapters </w:t>
            </w:r>
            <w:r w:rsidR="00E61B48">
              <w:rPr>
                <w:rFonts w:ascii="Arial" w:hAnsi="Arial" w:cs="Arial"/>
                <w:sz w:val="20"/>
              </w:rPr>
              <w:t>5</w:t>
            </w:r>
          </w:p>
          <w:p w:rsidR="00DC4367" w:rsidRDefault="00DC4367" w:rsidP="005565CB">
            <w:pPr>
              <w:rPr>
                <w:rFonts w:ascii="Arial" w:hAnsi="Arial" w:cs="Arial"/>
                <w:sz w:val="20"/>
              </w:rPr>
            </w:pPr>
          </w:p>
          <w:p w:rsidR="005565CB" w:rsidRDefault="00163629" w:rsidP="005565CB">
            <w:pPr>
              <w:rPr>
                <w:rFonts w:ascii="Arial" w:hAnsi="Arial" w:cs="Arial"/>
                <w:b/>
                <w:sz w:val="20"/>
              </w:rPr>
            </w:pPr>
            <w:r>
              <w:rPr>
                <w:rFonts w:ascii="Arial" w:hAnsi="Arial" w:cs="Arial"/>
                <w:b/>
                <w:sz w:val="20"/>
              </w:rPr>
              <w:t>Week 3</w:t>
            </w:r>
            <w:r w:rsidR="005565CB" w:rsidRPr="00CB762A">
              <w:rPr>
                <w:rFonts w:ascii="Arial" w:hAnsi="Arial" w:cs="Arial"/>
                <w:b/>
                <w:sz w:val="20"/>
              </w:rPr>
              <w:t>:</w:t>
            </w:r>
            <w:r w:rsidR="005565CB">
              <w:rPr>
                <w:rFonts w:ascii="Arial" w:hAnsi="Arial" w:cs="Arial"/>
                <w:b/>
                <w:sz w:val="20"/>
              </w:rPr>
              <w:t xml:space="preserve"> </w:t>
            </w:r>
            <w:r w:rsidR="00807488">
              <w:rPr>
                <w:rFonts w:ascii="Arial" w:hAnsi="Arial" w:cs="Arial"/>
                <w:b/>
                <w:sz w:val="20"/>
              </w:rPr>
              <w:t>Dynamic Regression Models</w:t>
            </w:r>
          </w:p>
          <w:p w:rsidR="00E61B48" w:rsidRPr="00E61B48" w:rsidRDefault="00E61B48" w:rsidP="005565CB">
            <w:pPr>
              <w:rPr>
                <w:rFonts w:ascii="Arial" w:hAnsi="Arial" w:cs="Arial"/>
                <w:sz w:val="20"/>
              </w:rPr>
            </w:pPr>
            <w:r>
              <w:rPr>
                <w:rFonts w:ascii="Arial" w:hAnsi="Arial" w:cs="Arial"/>
                <w:sz w:val="20"/>
              </w:rPr>
              <w:t>Pickup, Chapter 4</w:t>
            </w:r>
          </w:p>
          <w:p w:rsidR="00DC4367" w:rsidRPr="00DC4367" w:rsidRDefault="00DC4367" w:rsidP="00DC4367">
            <w:pPr>
              <w:rPr>
                <w:rFonts w:ascii="Arial" w:hAnsi="Arial" w:cs="Arial"/>
                <w:sz w:val="20"/>
              </w:rPr>
            </w:pPr>
            <w:proofErr w:type="spellStart"/>
            <w:r w:rsidRPr="00DC4367">
              <w:rPr>
                <w:rFonts w:ascii="Arial" w:hAnsi="Arial" w:cs="Arial"/>
                <w:sz w:val="20"/>
              </w:rPr>
              <w:t>Achen</w:t>
            </w:r>
            <w:proofErr w:type="spellEnd"/>
            <w:r w:rsidRPr="00DC4367">
              <w:rPr>
                <w:rFonts w:ascii="Arial" w:hAnsi="Arial" w:cs="Arial"/>
                <w:sz w:val="20"/>
              </w:rPr>
              <w:t xml:space="preserve">, Christopher H. </w:t>
            </w:r>
            <w:r w:rsidR="00E61B48">
              <w:rPr>
                <w:rFonts w:ascii="Arial" w:hAnsi="Arial" w:cs="Arial"/>
                <w:sz w:val="20"/>
              </w:rPr>
              <w:t>2000</w:t>
            </w:r>
            <w:r w:rsidRPr="00DC4367">
              <w:rPr>
                <w:rFonts w:ascii="Arial" w:hAnsi="Arial" w:cs="Arial"/>
                <w:sz w:val="20"/>
              </w:rPr>
              <w:t>. “Why lagged dependent variables can suppre</w:t>
            </w:r>
            <w:r>
              <w:rPr>
                <w:rFonts w:ascii="Arial" w:hAnsi="Arial" w:cs="Arial"/>
                <w:sz w:val="20"/>
              </w:rPr>
              <w:t xml:space="preserve">ss </w:t>
            </w:r>
            <w:r w:rsidRPr="00DC4367">
              <w:rPr>
                <w:rFonts w:ascii="Arial" w:hAnsi="Arial" w:cs="Arial"/>
                <w:sz w:val="20"/>
              </w:rPr>
              <w:t>the explanatory power of other independent variable</w:t>
            </w:r>
            <w:r w:rsidR="00E61B48">
              <w:rPr>
                <w:rFonts w:ascii="Arial" w:hAnsi="Arial" w:cs="Arial"/>
                <w:sz w:val="20"/>
              </w:rPr>
              <w:t>s.” Unpublished Manuscript</w:t>
            </w:r>
            <w:r>
              <w:rPr>
                <w:rFonts w:ascii="Arial" w:hAnsi="Arial" w:cs="Arial"/>
                <w:sz w:val="20"/>
              </w:rPr>
              <w:t>.</w:t>
            </w:r>
          </w:p>
          <w:p w:rsidR="005565CB" w:rsidRDefault="00DC4367" w:rsidP="00DC4367">
            <w:pPr>
              <w:rPr>
                <w:rFonts w:ascii="Arial" w:hAnsi="Arial" w:cs="Arial"/>
                <w:sz w:val="20"/>
              </w:rPr>
            </w:pPr>
            <w:proofErr w:type="spellStart"/>
            <w:r w:rsidRPr="00DC4367">
              <w:rPr>
                <w:rFonts w:ascii="Arial" w:hAnsi="Arial" w:cs="Arial"/>
                <w:sz w:val="20"/>
              </w:rPr>
              <w:t>Keele</w:t>
            </w:r>
            <w:proofErr w:type="spellEnd"/>
            <w:r w:rsidRPr="00DC4367">
              <w:rPr>
                <w:rFonts w:ascii="Arial" w:hAnsi="Arial" w:cs="Arial"/>
                <w:sz w:val="20"/>
              </w:rPr>
              <w:t>, Luke, and Nathan J. Kelly.</w:t>
            </w:r>
            <w:r w:rsidR="00E61B48">
              <w:rPr>
                <w:rFonts w:ascii="Arial" w:hAnsi="Arial" w:cs="Arial"/>
                <w:sz w:val="20"/>
              </w:rPr>
              <w:t xml:space="preserve"> 2006.</w:t>
            </w:r>
            <w:r w:rsidRPr="00DC4367">
              <w:rPr>
                <w:rFonts w:ascii="Arial" w:hAnsi="Arial" w:cs="Arial"/>
                <w:sz w:val="20"/>
              </w:rPr>
              <w:t xml:space="preserve"> “Dynamic models for dynam</w:t>
            </w:r>
            <w:r>
              <w:rPr>
                <w:rFonts w:ascii="Arial" w:hAnsi="Arial" w:cs="Arial"/>
                <w:sz w:val="20"/>
              </w:rPr>
              <w:t xml:space="preserve">ic theories: The ins </w:t>
            </w:r>
            <w:r w:rsidRPr="00DC4367">
              <w:rPr>
                <w:rFonts w:ascii="Arial" w:hAnsi="Arial" w:cs="Arial"/>
                <w:sz w:val="20"/>
              </w:rPr>
              <w:t xml:space="preserve">and outs of lagged dependent variables.” </w:t>
            </w:r>
            <w:r>
              <w:rPr>
                <w:rFonts w:ascii="Arial" w:hAnsi="Arial" w:cs="Arial"/>
                <w:i/>
                <w:sz w:val="20"/>
              </w:rPr>
              <w:t>Political A</w:t>
            </w:r>
            <w:r w:rsidRPr="00DC4367">
              <w:rPr>
                <w:rFonts w:ascii="Arial" w:hAnsi="Arial" w:cs="Arial"/>
                <w:i/>
                <w:sz w:val="20"/>
              </w:rPr>
              <w:t>nalysis</w:t>
            </w:r>
            <w:r w:rsidR="00E61B48">
              <w:rPr>
                <w:rFonts w:ascii="Arial" w:hAnsi="Arial" w:cs="Arial"/>
                <w:sz w:val="20"/>
              </w:rPr>
              <w:t xml:space="preserve"> 14(2</w:t>
            </w:r>
            <w:r w:rsidRPr="00DC4367">
              <w:rPr>
                <w:rFonts w:ascii="Arial" w:hAnsi="Arial" w:cs="Arial"/>
                <w:sz w:val="20"/>
              </w:rPr>
              <w:t>): 186-205.</w:t>
            </w:r>
          </w:p>
          <w:p w:rsidR="00E70B19" w:rsidRDefault="00E70B19" w:rsidP="00DC4367">
            <w:pPr>
              <w:rPr>
                <w:rFonts w:ascii="Arial" w:hAnsi="Arial" w:cs="Arial"/>
                <w:sz w:val="20"/>
              </w:rPr>
            </w:pPr>
          </w:p>
          <w:p w:rsidR="00E70B19" w:rsidRDefault="00E70B19" w:rsidP="00E70B19">
            <w:pPr>
              <w:rPr>
                <w:rFonts w:ascii="Arial" w:hAnsi="Arial" w:cs="Arial"/>
                <w:b/>
                <w:sz w:val="20"/>
              </w:rPr>
            </w:pPr>
            <w:r w:rsidRPr="00CB762A">
              <w:rPr>
                <w:rFonts w:ascii="Arial" w:hAnsi="Arial" w:cs="Arial"/>
                <w:b/>
                <w:sz w:val="20"/>
              </w:rPr>
              <w:t>Week</w:t>
            </w:r>
            <w:r>
              <w:rPr>
                <w:rFonts w:ascii="Arial" w:hAnsi="Arial" w:cs="Arial"/>
                <w:b/>
                <w:sz w:val="20"/>
              </w:rPr>
              <w:t xml:space="preserve"> </w:t>
            </w:r>
            <w:r w:rsidR="00E5077F">
              <w:rPr>
                <w:rFonts w:ascii="Arial" w:hAnsi="Arial" w:cs="Arial"/>
                <w:b/>
                <w:sz w:val="20"/>
              </w:rPr>
              <w:t>4</w:t>
            </w:r>
            <w:r w:rsidRPr="00CB762A">
              <w:rPr>
                <w:rFonts w:ascii="Arial" w:hAnsi="Arial" w:cs="Arial"/>
                <w:b/>
                <w:sz w:val="20"/>
              </w:rPr>
              <w:t xml:space="preserve">: </w:t>
            </w:r>
            <w:r>
              <w:rPr>
                <w:rFonts w:ascii="Arial" w:hAnsi="Arial" w:cs="Arial"/>
                <w:b/>
                <w:sz w:val="20"/>
              </w:rPr>
              <w:t>ARMA Framework</w:t>
            </w:r>
          </w:p>
          <w:p w:rsidR="00E70B19" w:rsidRDefault="00E70B19" w:rsidP="00E70B19">
            <w:pPr>
              <w:rPr>
                <w:rFonts w:ascii="Arial" w:hAnsi="Arial" w:cs="Arial"/>
                <w:sz w:val="20"/>
              </w:rPr>
            </w:pPr>
            <w:r>
              <w:rPr>
                <w:rFonts w:ascii="Arial" w:hAnsi="Arial" w:cs="Arial"/>
                <w:sz w:val="20"/>
              </w:rPr>
              <w:t>Pickup, Chapter 5.</w:t>
            </w:r>
          </w:p>
          <w:p w:rsidR="00D47F33" w:rsidRDefault="00D47F33" w:rsidP="00E70B19">
            <w:pPr>
              <w:rPr>
                <w:rFonts w:ascii="Arial" w:hAnsi="Arial" w:cs="Arial"/>
                <w:sz w:val="20"/>
              </w:rPr>
            </w:pPr>
            <w:r w:rsidRPr="007C272B">
              <w:rPr>
                <w:rFonts w:ascii="Arial" w:hAnsi="Arial" w:cs="Arial"/>
                <w:sz w:val="20"/>
              </w:rPr>
              <w:t>Wilkins, Arjun S.</w:t>
            </w:r>
            <w:r>
              <w:rPr>
                <w:rFonts w:ascii="Arial" w:hAnsi="Arial" w:cs="Arial"/>
                <w:sz w:val="20"/>
              </w:rPr>
              <w:t xml:space="preserve"> 2018.</w:t>
            </w:r>
            <w:r w:rsidRPr="007C272B">
              <w:rPr>
                <w:rFonts w:ascii="Arial" w:hAnsi="Arial" w:cs="Arial"/>
                <w:sz w:val="20"/>
              </w:rPr>
              <w:t xml:space="preserve"> "To lag or not to lag</w:t>
            </w:r>
            <w:proofErr w:type="gramStart"/>
            <w:r w:rsidRPr="007C272B">
              <w:rPr>
                <w:rFonts w:ascii="Arial" w:hAnsi="Arial" w:cs="Arial"/>
                <w:sz w:val="20"/>
              </w:rPr>
              <w:t>?:</w:t>
            </w:r>
            <w:proofErr w:type="gramEnd"/>
            <w:r w:rsidRPr="007C272B">
              <w:rPr>
                <w:rFonts w:ascii="Arial" w:hAnsi="Arial" w:cs="Arial"/>
                <w:sz w:val="20"/>
              </w:rPr>
              <w:t xml:space="preserve"> Re-evaluating the use of lagged dependent variables in regression analysis." </w:t>
            </w:r>
            <w:r w:rsidRPr="007C272B">
              <w:rPr>
                <w:rFonts w:ascii="Arial" w:hAnsi="Arial" w:cs="Arial"/>
                <w:i/>
                <w:sz w:val="20"/>
              </w:rPr>
              <w:t>Political Science Research and Methods</w:t>
            </w:r>
            <w:r>
              <w:rPr>
                <w:rFonts w:ascii="Arial" w:hAnsi="Arial" w:cs="Arial"/>
                <w:sz w:val="20"/>
              </w:rPr>
              <w:t xml:space="preserve"> 6(2</w:t>
            </w:r>
            <w:r w:rsidRPr="007C272B">
              <w:rPr>
                <w:rFonts w:ascii="Arial" w:hAnsi="Arial" w:cs="Arial"/>
                <w:sz w:val="20"/>
              </w:rPr>
              <w:t>): 393-411.</w:t>
            </w:r>
          </w:p>
          <w:p w:rsidR="00DC4367" w:rsidRDefault="00DC4367" w:rsidP="00DC4367">
            <w:pPr>
              <w:rPr>
                <w:rFonts w:ascii="Arial" w:hAnsi="Arial" w:cs="Arial"/>
                <w:sz w:val="20"/>
              </w:rPr>
            </w:pPr>
          </w:p>
          <w:p w:rsidR="005565CB" w:rsidRDefault="00E70B19" w:rsidP="005565CB">
            <w:pPr>
              <w:rPr>
                <w:rFonts w:ascii="Arial" w:hAnsi="Arial" w:cs="Arial"/>
                <w:b/>
                <w:sz w:val="20"/>
              </w:rPr>
            </w:pPr>
            <w:r>
              <w:rPr>
                <w:rFonts w:ascii="Arial" w:hAnsi="Arial" w:cs="Arial"/>
                <w:b/>
                <w:sz w:val="20"/>
              </w:rPr>
              <w:t>Week 5</w:t>
            </w:r>
            <w:r w:rsidR="005565CB" w:rsidRPr="00CB762A">
              <w:rPr>
                <w:rFonts w:ascii="Arial" w:hAnsi="Arial" w:cs="Arial"/>
                <w:b/>
                <w:sz w:val="20"/>
              </w:rPr>
              <w:t xml:space="preserve">: </w:t>
            </w:r>
            <w:r w:rsidR="00807488">
              <w:rPr>
                <w:rFonts w:ascii="Arial" w:hAnsi="Arial" w:cs="Arial"/>
                <w:b/>
                <w:sz w:val="20"/>
              </w:rPr>
              <w:t>Spatial Regression Models</w:t>
            </w:r>
          </w:p>
          <w:p w:rsidR="00E61B48" w:rsidRDefault="00E61B48" w:rsidP="005565CB">
            <w:pPr>
              <w:rPr>
                <w:rFonts w:ascii="Arial" w:hAnsi="Arial" w:cs="Arial"/>
                <w:sz w:val="20"/>
              </w:rPr>
            </w:pPr>
            <w:proofErr w:type="spellStart"/>
            <w:r>
              <w:rPr>
                <w:rFonts w:ascii="Arial" w:hAnsi="Arial" w:cs="Arial"/>
                <w:sz w:val="20"/>
              </w:rPr>
              <w:t>Darmofal</w:t>
            </w:r>
            <w:proofErr w:type="spellEnd"/>
            <w:r>
              <w:rPr>
                <w:rFonts w:ascii="Arial" w:hAnsi="Arial" w:cs="Arial"/>
                <w:sz w:val="20"/>
              </w:rPr>
              <w:t>, Chapter 6</w:t>
            </w:r>
          </w:p>
          <w:p w:rsidR="005565CB" w:rsidRDefault="00DC4367" w:rsidP="005565CB">
            <w:pPr>
              <w:rPr>
                <w:rFonts w:ascii="Arial" w:hAnsi="Arial" w:cs="Arial"/>
                <w:sz w:val="20"/>
              </w:rPr>
            </w:pPr>
            <w:r w:rsidRPr="00DC4367">
              <w:rPr>
                <w:rFonts w:ascii="Arial" w:hAnsi="Arial" w:cs="Arial"/>
                <w:sz w:val="20"/>
              </w:rPr>
              <w:t xml:space="preserve">Cook, Scott J., </w:t>
            </w:r>
            <w:proofErr w:type="spellStart"/>
            <w:r w:rsidRPr="00DC4367">
              <w:rPr>
                <w:rFonts w:ascii="Arial" w:hAnsi="Arial" w:cs="Arial"/>
                <w:sz w:val="20"/>
              </w:rPr>
              <w:t>Seung</w:t>
            </w:r>
            <w:proofErr w:type="spellEnd"/>
            <w:r w:rsidRPr="00DC4367">
              <w:rPr>
                <w:rFonts w:ascii="Arial" w:hAnsi="Arial" w:cs="Arial"/>
                <w:sz w:val="20"/>
              </w:rPr>
              <w:t xml:space="preserve">-Ho An, and Nathan </w:t>
            </w:r>
            <w:proofErr w:type="spellStart"/>
            <w:r w:rsidRPr="00DC4367">
              <w:rPr>
                <w:rFonts w:ascii="Arial" w:hAnsi="Arial" w:cs="Arial"/>
                <w:sz w:val="20"/>
              </w:rPr>
              <w:t>Favero</w:t>
            </w:r>
            <w:proofErr w:type="spellEnd"/>
            <w:r w:rsidRPr="00DC4367">
              <w:rPr>
                <w:rFonts w:ascii="Arial" w:hAnsi="Arial" w:cs="Arial"/>
                <w:sz w:val="20"/>
              </w:rPr>
              <w:t xml:space="preserve">.  2019. “Beyond Policy Diffusion: Spatial Econometric Models of Public Administration,” </w:t>
            </w:r>
            <w:r w:rsidRPr="00DC4367">
              <w:rPr>
                <w:rFonts w:ascii="Arial" w:hAnsi="Arial" w:cs="Arial"/>
                <w:i/>
                <w:sz w:val="20"/>
              </w:rPr>
              <w:t>Journal of Public Administration Research and Theory</w:t>
            </w:r>
            <w:r w:rsidRPr="00DC4367">
              <w:rPr>
                <w:rFonts w:ascii="Arial" w:hAnsi="Arial" w:cs="Arial"/>
                <w:sz w:val="20"/>
              </w:rPr>
              <w:t xml:space="preserve"> 29(4): 591-608.</w:t>
            </w:r>
          </w:p>
          <w:p w:rsidR="0005221C" w:rsidRDefault="0005221C" w:rsidP="005565CB">
            <w:pPr>
              <w:rPr>
                <w:rFonts w:ascii="Arial" w:hAnsi="Arial" w:cs="Arial"/>
                <w:sz w:val="20"/>
              </w:rPr>
            </w:pPr>
            <w:proofErr w:type="spellStart"/>
            <w:r>
              <w:rPr>
                <w:rFonts w:ascii="Arial" w:hAnsi="Arial" w:cs="Arial"/>
                <w:sz w:val="20"/>
              </w:rPr>
              <w:t>Neumayer</w:t>
            </w:r>
            <w:proofErr w:type="spellEnd"/>
            <w:r>
              <w:rPr>
                <w:rFonts w:ascii="Arial" w:hAnsi="Arial" w:cs="Arial"/>
                <w:sz w:val="20"/>
              </w:rPr>
              <w:t>, Eric and Thomas</w:t>
            </w:r>
            <w:r w:rsidRPr="00DC4367">
              <w:rPr>
                <w:rFonts w:ascii="Arial" w:hAnsi="Arial" w:cs="Arial"/>
                <w:sz w:val="20"/>
              </w:rPr>
              <w:t xml:space="preserve"> Plumper. 2016. “W.” </w:t>
            </w:r>
            <w:r w:rsidRPr="00E61B48">
              <w:rPr>
                <w:rFonts w:ascii="Arial" w:hAnsi="Arial" w:cs="Arial"/>
                <w:i/>
                <w:sz w:val="20"/>
              </w:rPr>
              <w:t>Political Science Research and Methods</w:t>
            </w:r>
            <w:r>
              <w:rPr>
                <w:rFonts w:ascii="Arial" w:hAnsi="Arial" w:cs="Arial"/>
                <w:sz w:val="20"/>
              </w:rPr>
              <w:t xml:space="preserve"> 4</w:t>
            </w:r>
            <w:r w:rsidRPr="006B53AE">
              <w:rPr>
                <w:rFonts w:ascii="Arial" w:hAnsi="Arial" w:cs="Arial"/>
                <w:sz w:val="20"/>
              </w:rPr>
              <w:t>(1)</w:t>
            </w:r>
            <w:r>
              <w:rPr>
                <w:rFonts w:ascii="Arial" w:hAnsi="Arial" w:cs="Arial"/>
                <w:sz w:val="20"/>
              </w:rPr>
              <w:t>: 1</w:t>
            </w:r>
            <w:r w:rsidRPr="006B53AE">
              <w:rPr>
                <w:rFonts w:ascii="Arial" w:hAnsi="Arial" w:cs="Arial"/>
                <w:sz w:val="20"/>
              </w:rPr>
              <w:t>75-193.</w:t>
            </w:r>
          </w:p>
          <w:p w:rsidR="00DC4367" w:rsidRPr="00DC4367" w:rsidRDefault="00DC4367" w:rsidP="005565CB">
            <w:pPr>
              <w:rPr>
                <w:rFonts w:ascii="Arial" w:hAnsi="Arial" w:cs="Arial"/>
                <w:sz w:val="20"/>
              </w:rPr>
            </w:pPr>
            <w:r>
              <w:rPr>
                <w:rFonts w:ascii="Arial" w:hAnsi="Arial" w:cs="Arial"/>
                <w:sz w:val="20"/>
              </w:rPr>
              <w:t xml:space="preserve">Vande Kamp, Garrett N. N.D. </w:t>
            </w:r>
            <w:r w:rsidRPr="00DC4367">
              <w:rPr>
                <w:rFonts w:ascii="Arial" w:hAnsi="Arial" w:cs="Arial"/>
                <w:sz w:val="20"/>
              </w:rPr>
              <w:t>"The Multiplicative Interactions Framework for Spatial Regression Models: Theory, Bias, and Interpretation."</w:t>
            </w:r>
            <w:r>
              <w:rPr>
                <w:rFonts w:ascii="Arial" w:hAnsi="Arial" w:cs="Arial"/>
                <w:sz w:val="20"/>
              </w:rPr>
              <w:t xml:space="preserve"> </w:t>
            </w:r>
            <w:r w:rsidR="0005221C">
              <w:rPr>
                <w:rFonts w:ascii="Arial" w:hAnsi="Arial" w:cs="Arial"/>
                <w:sz w:val="20"/>
              </w:rPr>
              <w:t>Unpublished Manuscript</w:t>
            </w:r>
            <w:bookmarkStart w:id="0" w:name="_GoBack"/>
            <w:bookmarkEnd w:id="0"/>
            <w:r>
              <w:rPr>
                <w:rFonts w:ascii="Arial" w:hAnsi="Arial" w:cs="Arial"/>
                <w:sz w:val="20"/>
              </w:rPr>
              <w:t>.</w:t>
            </w:r>
          </w:p>
          <w:p w:rsidR="006247F0" w:rsidRDefault="006247F0" w:rsidP="00163629">
            <w:pPr>
              <w:rPr>
                <w:rFonts w:ascii="Arial" w:hAnsi="Arial" w:cs="Arial"/>
                <w:b/>
                <w:sz w:val="20"/>
              </w:rPr>
            </w:pPr>
          </w:p>
          <w:p w:rsidR="00163629" w:rsidRDefault="006247F0" w:rsidP="00163629">
            <w:pPr>
              <w:rPr>
                <w:rFonts w:ascii="Arial" w:hAnsi="Arial" w:cs="Arial"/>
                <w:b/>
                <w:sz w:val="20"/>
              </w:rPr>
            </w:pPr>
            <w:r>
              <w:rPr>
                <w:rFonts w:ascii="Arial" w:hAnsi="Arial" w:cs="Arial"/>
                <w:b/>
                <w:sz w:val="20"/>
              </w:rPr>
              <w:t>Week 6</w:t>
            </w:r>
            <w:r w:rsidR="00163629" w:rsidRPr="00CB762A">
              <w:rPr>
                <w:rFonts w:ascii="Arial" w:hAnsi="Arial" w:cs="Arial"/>
                <w:b/>
                <w:sz w:val="20"/>
              </w:rPr>
              <w:t>:</w:t>
            </w:r>
            <w:r w:rsidR="00163629">
              <w:rPr>
                <w:rFonts w:ascii="Arial" w:hAnsi="Arial" w:cs="Arial"/>
                <w:b/>
                <w:sz w:val="20"/>
              </w:rPr>
              <w:t xml:space="preserve"> </w:t>
            </w:r>
            <w:r w:rsidR="006D36E6">
              <w:rPr>
                <w:rFonts w:ascii="Arial" w:hAnsi="Arial" w:cs="Arial"/>
                <w:b/>
                <w:sz w:val="20"/>
              </w:rPr>
              <w:t>Stationarity</w:t>
            </w:r>
          </w:p>
          <w:p w:rsidR="00163629" w:rsidRDefault="00E61B48" w:rsidP="00163629">
            <w:pPr>
              <w:rPr>
                <w:rFonts w:ascii="Arial" w:hAnsi="Arial" w:cs="Arial"/>
                <w:sz w:val="20"/>
              </w:rPr>
            </w:pPr>
            <w:r>
              <w:rPr>
                <w:rFonts w:ascii="Arial" w:hAnsi="Arial" w:cs="Arial"/>
                <w:sz w:val="20"/>
              </w:rPr>
              <w:t>Pickup Chapter 6</w:t>
            </w:r>
          </w:p>
          <w:p w:rsidR="00AB115D" w:rsidRDefault="00AB115D" w:rsidP="00163629">
            <w:pPr>
              <w:rPr>
                <w:rFonts w:ascii="Arial" w:hAnsi="Arial" w:cs="Arial"/>
                <w:sz w:val="20"/>
              </w:rPr>
            </w:pPr>
            <w:proofErr w:type="spellStart"/>
            <w:r>
              <w:rPr>
                <w:rFonts w:ascii="Arial" w:hAnsi="Arial" w:cs="Arial"/>
                <w:sz w:val="20"/>
              </w:rPr>
              <w:t>Darmofal</w:t>
            </w:r>
            <w:proofErr w:type="spellEnd"/>
            <w:r>
              <w:rPr>
                <w:rFonts w:ascii="Arial" w:hAnsi="Arial" w:cs="Arial"/>
                <w:sz w:val="20"/>
              </w:rPr>
              <w:t xml:space="preserve"> Chapter 7</w:t>
            </w:r>
          </w:p>
          <w:p w:rsidR="006D36E6" w:rsidRDefault="006D36E6" w:rsidP="00163629">
            <w:pPr>
              <w:rPr>
                <w:rFonts w:ascii="Arial" w:hAnsi="Arial" w:cs="Arial"/>
                <w:sz w:val="20"/>
              </w:rPr>
            </w:pPr>
            <w:proofErr w:type="spellStart"/>
            <w:r w:rsidRPr="009D074D">
              <w:rPr>
                <w:rFonts w:ascii="Arial" w:hAnsi="Arial" w:cs="Arial"/>
                <w:sz w:val="20"/>
              </w:rPr>
              <w:t>Fingleton</w:t>
            </w:r>
            <w:proofErr w:type="spellEnd"/>
            <w:r w:rsidRPr="009D074D">
              <w:rPr>
                <w:rFonts w:ascii="Arial" w:hAnsi="Arial" w:cs="Arial"/>
                <w:sz w:val="20"/>
              </w:rPr>
              <w:t xml:space="preserve">, Bernard. </w:t>
            </w:r>
            <w:r>
              <w:rPr>
                <w:rFonts w:ascii="Arial" w:hAnsi="Arial" w:cs="Arial"/>
                <w:sz w:val="20"/>
              </w:rPr>
              <w:t xml:space="preserve">1999. </w:t>
            </w:r>
            <w:r w:rsidRPr="009D074D">
              <w:rPr>
                <w:rFonts w:ascii="Arial" w:hAnsi="Arial" w:cs="Arial"/>
                <w:sz w:val="20"/>
              </w:rPr>
              <w:t xml:space="preserve">"Spurious spatial regression: some Monte Carlo results with a spatial unit root and spatial </w:t>
            </w:r>
            <w:proofErr w:type="spellStart"/>
            <w:r w:rsidRPr="009D074D">
              <w:rPr>
                <w:rFonts w:ascii="Arial" w:hAnsi="Arial" w:cs="Arial"/>
                <w:sz w:val="20"/>
              </w:rPr>
              <w:t>cointegration</w:t>
            </w:r>
            <w:proofErr w:type="spellEnd"/>
            <w:r w:rsidRPr="009D074D">
              <w:rPr>
                <w:rFonts w:ascii="Arial" w:hAnsi="Arial" w:cs="Arial"/>
                <w:sz w:val="20"/>
              </w:rPr>
              <w:t>."</w:t>
            </w:r>
            <w:r>
              <w:rPr>
                <w:rFonts w:ascii="Arial" w:hAnsi="Arial" w:cs="Arial"/>
                <w:sz w:val="20"/>
              </w:rPr>
              <w:t xml:space="preserve"> </w:t>
            </w:r>
            <w:r w:rsidRPr="009D074D">
              <w:rPr>
                <w:rFonts w:ascii="Arial" w:hAnsi="Arial" w:cs="Arial"/>
                <w:i/>
                <w:sz w:val="20"/>
              </w:rPr>
              <w:t>Journal of regional science</w:t>
            </w:r>
            <w:r>
              <w:rPr>
                <w:rFonts w:ascii="Arial" w:hAnsi="Arial" w:cs="Arial"/>
                <w:sz w:val="20"/>
              </w:rPr>
              <w:t xml:space="preserve"> 39(</w:t>
            </w:r>
            <w:r w:rsidRPr="009D074D">
              <w:rPr>
                <w:rFonts w:ascii="Arial" w:hAnsi="Arial" w:cs="Arial"/>
                <w:sz w:val="20"/>
              </w:rPr>
              <w:t>1): 1-19.</w:t>
            </w:r>
          </w:p>
          <w:p w:rsidR="006D36E6" w:rsidRDefault="006D36E6" w:rsidP="00163629">
            <w:pPr>
              <w:rPr>
                <w:rFonts w:ascii="Arial" w:hAnsi="Arial" w:cs="Arial"/>
                <w:sz w:val="20"/>
              </w:rPr>
            </w:pPr>
          </w:p>
          <w:p w:rsidR="00D47F33" w:rsidRPr="006D36E6" w:rsidRDefault="006247F0" w:rsidP="00163629">
            <w:pPr>
              <w:rPr>
                <w:rFonts w:ascii="Arial" w:hAnsi="Arial" w:cs="Arial"/>
                <w:b/>
                <w:sz w:val="20"/>
              </w:rPr>
            </w:pPr>
            <w:r>
              <w:rPr>
                <w:rFonts w:ascii="Arial" w:hAnsi="Arial" w:cs="Arial"/>
                <w:b/>
                <w:sz w:val="20"/>
              </w:rPr>
              <w:t>Week 7</w:t>
            </w:r>
            <w:r w:rsidR="006D36E6" w:rsidRPr="00CB762A">
              <w:rPr>
                <w:rFonts w:ascii="Arial" w:hAnsi="Arial" w:cs="Arial"/>
                <w:b/>
                <w:sz w:val="20"/>
              </w:rPr>
              <w:t>:</w:t>
            </w:r>
            <w:r w:rsidR="006D36E6">
              <w:rPr>
                <w:rFonts w:ascii="Arial" w:hAnsi="Arial" w:cs="Arial"/>
                <w:b/>
                <w:sz w:val="20"/>
              </w:rPr>
              <w:t xml:space="preserve"> </w:t>
            </w:r>
            <w:proofErr w:type="spellStart"/>
            <w:r w:rsidR="006D36E6">
              <w:rPr>
                <w:rFonts w:ascii="Arial" w:hAnsi="Arial" w:cs="Arial"/>
                <w:b/>
                <w:sz w:val="20"/>
              </w:rPr>
              <w:t>Cointegration</w:t>
            </w:r>
            <w:proofErr w:type="spellEnd"/>
          </w:p>
          <w:p w:rsidR="00163629" w:rsidRDefault="00E61B48" w:rsidP="00E61B48">
            <w:pPr>
              <w:rPr>
                <w:rFonts w:ascii="Arial" w:hAnsi="Arial" w:cs="Arial"/>
                <w:sz w:val="20"/>
              </w:rPr>
            </w:pPr>
            <w:r w:rsidRPr="00E61B48">
              <w:rPr>
                <w:rFonts w:ascii="Arial" w:hAnsi="Arial" w:cs="Arial"/>
                <w:sz w:val="20"/>
              </w:rPr>
              <w:t xml:space="preserve">De </w:t>
            </w:r>
            <w:proofErr w:type="spellStart"/>
            <w:r w:rsidRPr="00E61B48">
              <w:rPr>
                <w:rFonts w:ascii="Arial" w:hAnsi="Arial" w:cs="Arial"/>
                <w:sz w:val="20"/>
              </w:rPr>
              <w:t>Boef</w:t>
            </w:r>
            <w:proofErr w:type="spellEnd"/>
            <w:r w:rsidRPr="00E61B48">
              <w:rPr>
                <w:rFonts w:ascii="Arial" w:hAnsi="Arial" w:cs="Arial"/>
                <w:sz w:val="20"/>
              </w:rPr>
              <w:t xml:space="preserve">, Suzanna and Luke </w:t>
            </w:r>
            <w:proofErr w:type="spellStart"/>
            <w:r w:rsidRPr="00E61B48">
              <w:rPr>
                <w:rFonts w:ascii="Arial" w:hAnsi="Arial" w:cs="Arial"/>
                <w:sz w:val="20"/>
              </w:rPr>
              <w:t>Keele</w:t>
            </w:r>
            <w:proofErr w:type="spellEnd"/>
            <w:r w:rsidRPr="00E61B48">
              <w:rPr>
                <w:rFonts w:ascii="Arial" w:hAnsi="Arial" w:cs="Arial"/>
                <w:sz w:val="20"/>
              </w:rPr>
              <w:t xml:space="preserve">. 2008. “Taking time seriously.” </w:t>
            </w:r>
            <w:r w:rsidRPr="00E61B48">
              <w:rPr>
                <w:rFonts w:ascii="Arial" w:hAnsi="Arial" w:cs="Arial"/>
                <w:i/>
                <w:sz w:val="20"/>
              </w:rPr>
              <w:t>American Journal of Political Science</w:t>
            </w:r>
            <w:r>
              <w:rPr>
                <w:rFonts w:ascii="Arial" w:hAnsi="Arial" w:cs="Arial"/>
                <w:sz w:val="20"/>
              </w:rPr>
              <w:t>: 52(1): 184-</w:t>
            </w:r>
            <w:r w:rsidRPr="00E61B48">
              <w:rPr>
                <w:rFonts w:ascii="Arial" w:hAnsi="Arial" w:cs="Arial"/>
                <w:sz w:val="20"/>
              </w:rPr>
              <w:t>200.</w:t>
            </w:r>
          </w:p>
          <w:p w:rsidR="009D074D" w:rsidRDefault="00E61B48" w:rsidP="005565CB">
            <w:pPr>
              <w:rPr>
                <w:rFonts w:ascii="Arial" w:hAnsi="Arial" w:cs="Arial"/>
                <w:sz w:val="20"/>
              </w:rPr>
            </w:pPr>
            <w:r w:rsidRPr="00E61B48">
              <w:rPr>
                <w:rFonts w:ascii="Arial" w:hAnsi="Arial" w:cs="Arial"/>
                <w:sz w:val="20"/>
              </w:rPr>
              <w:t>Grant, Taylor, and Matthew J. Lebo.</w:t>
            </w:r>
            <w:r>
              <w:rPr>
                <w:rFonts w:ascii="Arial" w:hAnsi="Arial" w:cs="Arial"/>
                <w:sz w:val="20"/>
              </w:rPr>
              <w:t xml:space="preserve"> 2016.</w:t>
            </w:r>
            <w:r w:rsidRPr="00E61B48">
              <w:rPr>
                <w:rFonts w:ascii="Arial" w:hAnsi="Arial" w:cs="Arial"/>
                <w:sz w:val="20"/>
              </w:rPr>
              <w:t xml:space="preserve"> "Error correction methods with political time s</w:t>
            </w:r>
            <w:r>
              <w:rPr>
                <w:rFonts w:ascii="Arial" w:hAnsi="Arial" w:cs="Arial"/>
                <w:sz w:val="20"/>
              </w:rPr>
              <w:t xml:space="preserve">eries." </w:t>
            </w:r>
            <w:r w:rsidRPr="00E61B48">
              <w:rPr>
                <w:rFonts w:ascii="Arial" w:hAnsi="Arial" w:cs="Arial"/>
                <w:i/>
                <w:sz w:val="20"/>
              </w:rPr>
              <w:t>Political Analysis</w:t>
            </w:r>
            <w:r>
              <w:rPr>
                <w:rFonts w:ascii="Arial" w:hAnsi="Arial" w:cs="Arial"/>
                <w:sz w:val="20"/>
              </w:rPr>
              <w:t xml:space="preserve"> 24(1)</w:t>
            </w:r>
            <w:r w:rsidRPr="00E61B48">
              <w:rPr>
                <w:rFonts w:ascii="Arial" w:hAnsi="Arial" w:cs="Arial"/>
                <w:sz w:val="20"/>
              </w:rPr>
              <w:t>: 3-30.</w:t>
            </w:r>
          </w:p>
          <w:p w:rsidR="001D3E46" w:rsidRPr="00E70B19" w:rsidRDefault="001D3E46" w:rsidP="005565CB">
            <w:pPr>
              <w:rPr>
                <w:rFonts w:ascii="Arial" w:hAnsi="Arial" w:cs="Arial"/>
                <w:sz w:val="20"/>
              </w:rPr>
            </w:pPr>
            <w:r w:rsidRPr="001D3E46">
              <w:rPr>
                <w:rFonts w:ascii="Arial" w:hAnsi="Arial" w:cs="Arial"/>
                <w:sz w:val="20"/>
              </w:rPr>
              <w:t xml:space="preserve">Philips, Andrew Q. 2018. "Have your cake and eat it too? </w:t>
            </w:r>
            <w:proofErr w:type="spellStart"/>
            <w:r w:rsidRPr="001D3E46">
              <w:rPr>
                <w:rFonts w:ascii="Arial" w:hAnsi="Arial" w:cs="Arial"/>
                <w:sz w:val="20"/>
              </w:rPr>
              <w:t>Cointegration</w:t>
            </w:r>
            <w:proofErr w:type="spellEnd"/>
            <w:r w:rsidRPr="001D3E46">
              <w:rPr>
                <w:rFonts w:ascii="Arial" w:hAnsi="Arial" w:cs="Arial"/>
                <w:sz w:val="20"/>
              </w:rPr>
              <w:t xml:space="preserve"> and dynamic inference from autoregressive distributed lag models." </w:t>
            </w:r>
            <w:r w:rsidRPr="00474AAA">
              <w:rPr>
                <w:rFonts w:ascii="Arial" w:hAnsi="Arial" w:cs="Arial"/>
                <w:i/>
                <w:sz w:val="20"/>
              </w:rPr>
              <w:t>American Journal of Political</w:t>
            </w:r>
            <w:r w:rsidRPr="00474AAA">
              <w:rPr>
                <w:rFonts w:ascii="Arial" w:hAnsi="Arial" w:cs="Arial"/>
                <w:sz w:val="20"/>
              </w:rPr>
              <w:t xml:space="preserve"> </w:t>
            </w:r>
            <w:r w:rsidRPr="00474AAA">
              <w:rPr>
                <w:rFonts w:ascii="Arial" w:hAnsi="Arial" w:cs="Arial"/>
                <w:i/>
                <w:sz w:val="20"/>
              </w:rPr>
              <w:t>Science</w:t>
            </w:r>
            <w:r w:rsidRPr="001D3E46">
              <w:rPr>
                <w:rFonts w:ascii="Arial" w:hAnsi="Arial" w:cs="Arial"/>
                <w:sz w:val="20"/>
              </w:rPr>
              <w:t xml:space="preserve"> 62(1): 230-244.</w:t>
            </w:r>
          </w:p>
          <w:p w:rsidR="005565CB" w:rsidRDefault="005565CB" w:rsidP="005565CB">
            <w:pPr>
              <w:rPr>
                <w:rFonts w:ascii="Arial" w:hAnsi="Arial" w:cs="Arial"/>
                <w:b/>
                <w:sz w:val="20"/>
              </w:rPr>
            </w:pPr>
          </w:p>
          <w:p w:rsidR="008B6282" w:rsidRPr="008B6282" w:rsidRDefault="00807488" w:rsidP="005565CB">
            <w:pPr>
              <w:rPr>
                <w:rFonts w:ascii="Arial" w:hAnsi="Arial" w:cs="Arial"/>
                <w:b/>
                <w:sz w:val="20"/>
                <w:u w:val="single"/>
              </w:rPr>
            </w:pPr>
            <w:r>
              <w:rPr>
                <w:rFonts w:ascii="Arial" w:hAnsi="Arial" w:cs="Arial"/>
                <w:b/>
                <w:sz w:val="20"/>
                <w:u w:val="single"/>
              </w:rPr>
              <w:t xml:space="preserve">Modelling </w:t>
            </w:r>
            <w:r w:rsidR="00E70B19">
              <w:rPr>
                <w:rFonts w:ascii="Arial" w:hAnsi="Arial" w:cs="Arial"/>
                <w:b/>
                <w:sz w:val="20"/>
                <w:u w:val="single"/>
              </w:rPr>
              <w:t>Dependence in Multiple Dimensions</w:t>
            </w:r>
          </w:p>
          <w:p w:rsidR="005565CB" w:rsidRDefault="007C272B" w:rsidP="005565CB">
            <w:pPr>
              <w:rPr>
                <w:rFonts w:ascii="Arial" w:hAnsi="Arial" w:cs="Arial"/>
                <w:b/>
                <w:sz w:val="20"/>
              </w:rPr>
            </w:pPr>
            <w:r>
              <w:rPr>
                <w:rFonts w:ascii="Arial" w:hAnsi="Arial" w:cs="Arial"/>
                <w:b/>
                <w:sz w:val="20"/>
              </w:rPr>
              <w:t>Week 8</w:t>
            </w:r>
            <w:r w:rsidR="006247F0">
              <w:rPr>
                <w:rFonts w:ascii="Arial" w:hAnsi="Arial" w:cs="Arial"/>
                <w:b/>
                <w:sz w:val="20"/>
              </w:rPr>
              <w:t>-9</w:t>
            </w:r>
            <w:r w:rsidR="00807488">
              <w:rPr>
                <w:rFonts w:ascii="Arial" w:hAnsi="Arial" w:cs="Arial"/>
                <w:b/>
                <w:sz w:val="20"/>
              </w:rPr>
              <w:t xml:space="preserve">: </w:t>
            </w:r>
            <w:r w:rsidR="003D55EC">
              <w:rPr>
                <w:rFonts w:ascii="Arial" w:hAnsi="Arial" w:cs="Arial"/>
                <w:b/>
                <w:sz w:val="20"/>
              </w:rPr>
              <w:t>Unobserved</w:t>
            </w:r>
            <w:r w:rsidR="00807488">
              <w:rPr>
                <w:rFonts w:ascii="Arial" w:hAnsi="Arial" w:cs="Arial"/>
                <w:b/>
                <w:sz w:val="20"/>
              </w:rPr>
              <w:t xml:space="preserve"> Effects</w:t>
            </w:r>
          </w:p>
          <w:p w:rsidR="009D074D" w:rsidRDefault="009D074D" w:rsidP="009D074D">
            <w:pPr>
              <w:rPr>
                <w:rFonts w:ascii="Arial" w:hAnsi="Arial" w:cs="Arial"/>
                <w:sz w:val="20"/>
              </w:rPr>
            </w:pPr>
            <w:r>
              <w:rPr>
                <w:rFonts w:ascii="Arial" w:hAnsi="Arial" w:cs="Arial"/>
                <w:sz w:val="20"/>
              </w:rPr>
              <w:t>Clark</w:t>
            </w:r>
            <w:r w:rsidRPr="009D074D">
              <w:rPr>
                <w:rFonts w:ascii="Arial" w:hAnsi="Arial" w:cs="Arial"/>
                <w:sz w:val="20"/>
              </w:rPr>
              <w:t>, Tom S., and Linzer, Drew A., 2015. “Should I use fixed or random effects?”</w:t>
            </w:r>
            <w:r>
              <w:rPr>
                <w:rFonts w:ascii="Arial" w:hAnsi="Arial" w:cs="Arial"/>
                <w:sz w:val="20"/>
              </w:rPr>
              <w:t xml:space="preserve"> </w:t>
            </w:r>
            <w:r w:rsidRPr="009D074D">
              <w:rPr>
                <w:rFonts w:ascii="Arial" w:hAnsi="Arial" w:cs="Arial"/>
                <w:i/>
                <w:sz w:val="20"/>
              </w:rPr>
              <w:t>Political Science Research and Methods</w:t>
            </w:r>
            <w:r w:rsidRPr="009D074D">
              <w:rPr>
                <w:rFonts w:ascii="Arial" w:hAnsi="Arial" w:cs="Arial"/>
                <w:sz w:val="20"/>
              </w:rPr>
              <w:t xml:space="preserve"> 3(2):399-408.</w:t>
            </w:r>
          </w:p>
          <w:p w:rsidR="009D074D" w:rsidRDefault="009D074D" w:rsidP="009D074D">
            <w:pPr>
              <w:rPr>
                <w:rFonts w:ascii="Arial" w:hAnsi="Arial" w:cs="Arial"/>
                <w:sz w:val="20"/>
              </w:rPr>
            </w:pPr>
            <w:r>
              <w:rPr>
                <w:rFonts w:ascii="Arial" w:hAnsi="Arial" w:cs="Arial"/>
                <w:sz w:val="20"/>
              </w:rPr>
              <w:t xml:space="preserve">Bell, Andrew, and Jones, </w:t>
            </w:r>
            <w:proofErr w:type="spellStart"/>
            <w:r>
              <w:rPr>
                <w:rFonts w:ascii="Arial" w:hAnsi="Arial" w:cs="Arial"/>
                <w:sz w:val="20"/>
              </w:rPr>
              <w:t>Kelvyn</w:t>
            </w:r>
            <w:proofErr w:type="spellEnd"/>
            <w:r>
              <w:rPr>
                <w:rFonts w:ascii="Arial" w:hAnsi="Arial" w:cs="Arial"/>
                <w:sz w:val="20"/>
              </w:rPr>
              <w:t>.</w:t>
            </w:r>
            <w:r w:rsidRPr="009D074D">
              <w:rPr>
                <w:rFonts w:ascii="Arial" w:hAnsi="Arial" w:cs="Arial"/>
                <w:sz w:val="20"/>
              </w:rPr>
              <w:t xml:space="preserve"> 2015. “Explaining fixed effects: Random effects modelin</w:t>
            </w:r>
            <w:r>
              <w:rPr>
                <w:rFonts w:ascii="Arial" w:hAnsi="Arial" w:cs="Arial"/>
                <w:sz w:val="20"/>
              </w:rPr>
              <w:t xml:space="preserve">g of time-series </w:t>
            </w:r>
            <w:proofErr w:type="spellStart"/>
            <w:r>
              <w:rPr>
                <w:rFonts w:ascii="Arial" w:hAnsi="Arial" w:cs="Arial"/>
                <w:sz w:val="20"/>
              </w:rPr>
              <w:t>crosssectional</w:t>
            </w:r>
            <w:proofErr w:type="spellEnd"/>
            <w:r>
              <w:rPr>
                <w:rFonts w:ascii="Arial" w:hAnsi="Arial" w:cs="Arial"/>
                <w:sz w:val="20"/>
              </w:rPr>
              <w:t xml:space="preserve"> </w:t>
            </w:r>
            <w:r w:rsidRPr="009D074D">
              <w:rPr>
                <w:rFonts w:ascii="Arial" w:hAnsi="Arial" w:cs="Arial"/>
                <w:sz w:val="20"/>
              </w:rPr>
              <w:t xml:space="preserve">and panel data.” </w:t>
            </w:r>
            <w:r w:rsidRPr="009D074D">
              <w:rPr>
                <w:rFonts w:ascii="Arial" w:hAnsi="Arial" w:cs="Arial"/>
                <w:i/>
                <w:sz w:val="20"/>
              </w:rPr>
              <w:t>Political Science Research and Methods</w:t>
            </w:r>
            <w:r w:rsidRPr="009D074D">
              <w:rPr>
                <w:rFonts w:ascii="Arial" w:hAnsi="Arial" w:cs="Arial"/>
                <w:sz w:val="20"/>
              </w:rPr>
              <w:t xml:space="preserve"> 3(1):1</w:t>
            </w:r>
            <w:r>
              <w:rPr>
                <w:rFonts w:ascii="Arial" w:hAnsi="Arial" w:cs="Arial"/>
                <w:sz w:val="20"/>
              </w:rPr>
              <w:t>33-153.</w:t>
            </w:r>
          </w:p>
          <w:p w:rsidR="009D074D" w:rsidRDefault="009D074D" w:rsidP="009D074D">
            <w:pPr>
              <w:rPr>
                <w:rFonts w:ascii="Arial" w:hAnsi="Arial" w:cs="Arial"/>
                <w:sz w:val="20"/>
              </w:rPr>
            </w:pPr>
            <w:proofErr w:type="spellStart"/>
            <w:r w:rsidRPr="009D074D">
              <w:rPr>
                <w:rFonts w:ascii="Arial" w:hAnsi="Arial" w:cs="Arial"/>
                <w:sz w:val="20"/>
              </w:rPr>
              <w:t>Arceneaux</w:t>
            </w:r>
            <w:proofErr w:type="spellEnd"/>
            <w:r w:rsidRPr="009D074D">
              <w:rPr>
                <w:rFonts w:ascii="Arial" w:hAnsi="Arial" w:cs="Arial"/>
                <w:sz w:val="20"/>
              </w:rPr>
              <w:t>, Kevin, and David W. Nickerson. 2009. “Modeling certainty with clustered data: A comparison of methods</w:t>
            </w:r>
            <w:r>
              <w:rPr>
                <w:rFonts w:ascii="Arial" w:hAnsi="Arial" w:cs="Arial"/>
                <w:sz w:val="20"/>
              </w:rPr>
              <w:t xml:space="preserve">.” </w:t>
            </w:r>
            <w:r w:rsidRPr="009D074D">
              <w:rPr>
                <w:rFonts w:ascii="Arial" w:hAnsi="Arial" w:cs="Arial"/>
                <w:i/>
                <w:sz w:val="20"/>
              </w:rPr>
              <w:t>Political Analysis</w:t>
            </w:r>
            <w:r w:rsidRPr="009D074D">
              <w:rPr>
                <w:rFonts w:ascii="Arial" w:hAnsi="Arial" w:cs="Arial"/>
                <w:sz w:val="20"/>
              </w:rPr>
              <w:t xml:space="preserve"> 17(2):177-190.</w:t>
            </w:r>
          </w:p>
          <w:p w:rsidR="006936F6" w:rsidRDefault="006936F6" w:rsidP="009D074D">
            <w:pPr>
              <w:rPr>
                <w:rFonts w:ascii="Arial" w:hAnsi="Arial" w:cs="Arial"/>
                <w:sz w:val="20"/>
              </w:rPr>
            </w:pPr>
            <w:proofErr w:type="spellStart"/>
            <w:r w:rsidRPr="006936F6">
              <w:rPr>
                <w:rFonts w:ascii="Arial" w:hAnsi="Arial" w:cs="Arial"/>
                <w:sz w:val="20"/>
              </w:rPr>
              <w:t>Esarey</w:t>
            </w:r>
            <w:proofErr w:type="spellEnd"/>
            <w:r w:rsidRPr="006936F6">
              <w:rPr>
                <w:rFonts w:ascii="Arial" w:hAnsi="Arial" w:cs="Arial"/>
                <w:sz w:val="20"/>
              </w:rPr>
              <w:t xml:space="preserve">, Justin, and Andrew </w:t>
            </w:r>
            <w:proofErr w:type="spellStart"/>
            <w:r w:rsidRPr="006936F6">
              <w:rPr>
                <w:rFonts w:ascii="Arial" w:hAnsi="Arial" w:cs="Arial"/>
                <w:sz w:val="20"/>
              </w:rPr>
              <w:t>Menger</w:t>
            </w:r>
            <w:proofErr w:type="spellEnd"/>
            <w:r w:rsidRPr="006936F6">
              <w:rPr>
                <w:rFonts w:ascii="Arial" w:hAnsi="Arial" w:cs="Arial"/>
                <w:sz w:val="20"/>
              </w:rPr>
              <w:t>.</w:t>
            </w:r>
            <w:r>
              <w:rPr>
                <w:rFonts w:ascii="Arial" w:hAnsi="Arial" w:cs="Arial"/>
                <w:sz w:val="20"/>
              </w:rPr>
              <w:t xml:space="preserve"> 2019.</w:t>
            </w:r>
            <w:r w:rsidRPr="006936F6">
              <w:rPr>
                <w:rFonts w:ascii="Arial" w:hAnsi="Arial" w:cs="Arial"/>
                <w:sz w:val="20"/>
              </w:rPr>
              <w:t xml:space="preserve"> "Practical and effective approaches to dealing with clustered data." </w:t>
            </w:r>
            <w:r w:rsidRPr="006936F6">
              <w:rPr>
                <w:rFonts w:ascii="Arial" w:hAnsi="Arial" w:cs="Arial"/>
                <w:i/>
                <w:sz w:val="20"/>
              </w:rPr>
              <w:t>Political Science Research and Methods</w:t>
            </w:r>
            <w:r>
              <w:rPr>
                <w:rFonts w:ascii="Arial" w:hAnsi="Arial" w:cs="Arial"/>
                <w:sz w:val="20"/>
              </w:rPr>
              <w:t xml:space="preserve"> 7(</w:t>
            </w:r>
            <w:r w:rsidRPr="006936F6">
              <w:rPr>
                <w:rFonts w:ascii="Arial" w:hAnsi="Arial" w:cs="Arial"/>
                <w:sz w:val="20"/>
              </w:rPr>
              <w:t>3): 541-559.</w:t>
            </w:r>
          </w:p>
          <w:p w:rsidR="009D074D" w:rsidRDefault="009D074D" w:rsidP="009D074D">
            <w:pPr>
              <w:rPr>
                <w:rFonts w:ascii="Arial" w:hAnsi="Arial" w:cs="Arial"/>
                <w:sz w:val="20"/>
              </w:rPr>
            </w:pPr>
          </w:p>
          <w:p w:rsidR="00AB508D" w:rsidRDefault="00AB508D" w:rsidP="005565CB">
            <w:pPr>
              <w:rPr>
                <w:rFonts w:ascii="Arial" w:hAnsi="Arial" w:cs="Arial"/>
                <w:b/>
                <w:sz w:val="20"/>
              </w:rPr>
            </w:pPr>
          </w:p>
          <w:p w:rsidR="003C44B6" w:rsidRDefault="006247F0" w:rsidP="005565CB">
            <w:pPr>
              <w:rPr>
                <w:rFonts w:ascii="Arial" w:hAnsi="Arial" w:cs="Arial"/>
                <w:sz w:val="20"/>
              </w:rPr>
            </w:pPr>
            <w:r>
              <w:rPr>
                <w:rFonts w:ascii="Arial" w:hAnsi="Arial" w:cs="Arial"/>
                <w:b/>
                <w:sz w:val="20"/>
              </w:rPr>
              <w:lastRenderedPageBreak/>
              <w:t>Week 10</w:t>
            </w:r>
            <w:r w:rsidR="005565CB" w:rsidRPr="00CB762A">
              <w:rPr>
                <w:rFonts w:ascii="Arial" w:hAnsi="Arial" w:cs="Arial"/>
                <w:b/>
                <w:sz w:val="20"/>
              </w:rPr>
              <w:t>:</w:t>
            </w:r>
            <w:r w:rsidR="005565CB">
              <w:rPr>
                <w:rFonts w:ascii="Arial" w:hAnsi="Arial" w:cs="Arial"/>
                <w:b/>
                <w:sz w:val="20"/>
              </w:rPr>
              <w:t xml:space="preserve"> </w:t>
            </w:r>
            <w:r w:rsidR="00807488">
              <w:rPr>
                <w:rFonts w:ascii="Arial" w:hAnsi="Arial" w:cs="Arial"/>
                <w:b/>
                <w:sz w:val="20"/>
              </w:rPr>
              <w:t xml:space="preserve">Modelling Dependence in </w:t>
            </w:r>
            <w:r w:rsidR="00F77646">
              <w:rPr>
                <w:rFonts w:ascii="Arial" w:hAnsi="Arial" w:cs="Arial"/>
                <w:b/>
                <w:sz w:val="20"/>
              </w:rPr>
              <w:t>TSCS Data</w:t>
            </w:r>
          </w:p>
          <w:p w:rsidR="00C22D31" w:rsidRDefault="00C22D31" w:rsidP="005565CB">
            <w:pPr>
              <w:rPr>
                <w:rFonts w:ascii="Arial" w:hAnsi="Arial" w:cs="Arial"/>
                <w:sz w:val="20"/>
              </w:rPr>
            </w:pPr>
            <w:proofErr w:type="spellStart"/>
            <w:r>
              <w:rPr>
                <w:rFonts w:ascii="Arial" w:hAnsi="Arial" w:cs="Arial"/>
                <w:sz w:val="20"/>
              </w:rPr>
              <w:t>Darmofal</w:t>
            </w:r>
            <w:proofErr w:type="spellEnd"/>
            <w:r>
              <w:rPr>
                <w:rFonts w:ascii="Arial" w:hAnsi="Arial" w:cs="Arial"/>
                <w:sz w:val="20"/>
              </w:rPr>
              <w:t>, Chapter 8</w:t>
            </w:r>
          </w:p>
          <w:p w:rsidR="007C272B" w:rsidRDefault="007C272B" w:rsidP="005565CB">
            <w:pPr>
              <w:rPr>
                <w:rFonts w:ascii="Arial" w:hAnsi="Arial" w:cs="Arial"/>
                <w:sz w:val="20"/>
              </w:rPr>
            </w:pPr>
            <w:proofErr w:type="spellStart"/>
            <w:r w:rsidRPr="007C272B">
              <w:rPr>
                <w:rFonts w:ascii="Arial" w:hAnsi="Arial" w:cs="Arial"/>
                <w:sz w:val="20"/>
              </w:rPr>
              <w:t>Plümper</w:t>
            </w:r>
            <w:proofErr w:type="spellEnd"/>
            <w:r>
              <w:rPr>
                <w:rFonts w:ascii="Arial" w:hAnsi="Arial" w:cs="Arial"/>
                <w:sz w:val="20"/>
              </w:rPr>
              <w:t xml:space="preserve">, </w:t>
            </w:r>
            <w:r w:rsidRPr="007C272B">
              <w:rPr>
                <w:rFonts w:ascii="Arial" w:hAnsi="Arial" w:cs="Arial"/>
                <w:sz w:val="20"/>
              </w:rPr>
              <w:t>Thomas</w:t>
            </w:r>
            <w:r>
              <w:rPr>
                <w:rFonts w:ascii="Arial" w:hAnsi="Arial" w:cs="Arial"/>
                <w:sz w:val="20"/>
              </w:rPr>
              <w:t xml:space="preserve"> and Vera E. </w:t>
            </w:r>
            <w:proofErr w:type="spellStart"/>
            <w:r>
              <w:rPr>
                <w:rFonts w:ascii="Arial" w:hAnsi="Arial" w:cs="Arial"/>
                <w:sz w:val="20"/>
              </w:rPr>
              <w:t>Troeger</w:t>
            </w:r>
            <w:proofErr w:type="spellEnd"/>
            <w:r>
              <w:rPr>
                <w:rFonts w:ascii="Arial" w:hAnsi="Arial" w:cs="Arial"/>
                <w:sz w:val="20"/>
              </w:rPr>
              <w:t>. 2018. “</w:t>
            </w:r>
            <w:r w:rsidRPr="007C272B">
              <w:rPr>
                <w:rFonts w:ascii="Arial" w:hAnsi="Arial" w:cs="Arial"/>
                <w:sz w:val="20"/>
              </w:rPr>
              <w:t>Not so Harmless After All: The Fixed-Effects Model</w:t>
            </w:r>
            <w:r>
              <w:rPr>
                <w:rFonts w:ascii="Arial" w:hAnsi="Arial" w:cs="Arial"/>
                <w:sz w:val="20"/>
              </w:rPr>
              <w:t>.”</w:t>
            </w:r>
            <w:r w:rsidRPr="007C272B">
              <w:rPr>
                <w:rFonts w:ascii="Arial" w:hAnsi="Arial" w:cs="Arial"/>
                <w:sz w:val="20"/>
              </w:rPr>
              <w:t xml:space="preserve"> </w:t>
            </w:r>
            <w:r w:rsidRPr="00217FEB">
              <w:rPr>
                <w:rFonts w:ascii="Arial" w:hAnsi="Arial" w:cs="Arial"/>
                <w:i/>
                <w:sz w:val="20"/>
              </w:rPr>
              <w:t>Political Analysis</w:t>
            </w:r>
            <w:r w:rsidRPr="007C272B">
              <w:rPr>
                <w:rFonts w:ascii="Arial" w:hAnsi="Arial" w:cs="Arial"/>
                <w:sz w:val="20"/>
              </w:rPr>
              <w:t xml:space="preserve"> 27(1), 21-45, with </w:t>
            </w:r>
          </w:p>
          <w:p w:rsidR="007C272B" w:rsidRDefault="007C272B" w:rsidP="005565CB">
            <w:pPr>
              <w:rPr>
                <w:rFonts w:ascii="Arial" w:hAnsi="Arial" w:cs="Arial"/>
                <w:sz w:val="20"/>
              </w:rPr>
            </w:pPr>
            <w:r>
              <w:rPr>
                <w:rFonts w:ascii="Arial" w:hAnsi="Arial" w:cs="Arial"/>
                <w:sz w:val="20"/>
              </w:rPr>
              <w:t>Vande Kamp, Garrett N</w:t>
            </w:r>
            <w:r w:rsidRPr="007C272B">
              <w:rPr>
                <w:rFonts w:ascii="Arial" w:hAnsi="Arial" w:cs="Arial"/>
                <w:sz w:val="20"/>
              </w:rPr>
              <w:t>.</w:t>
            </w:r>
            <w:r>
              <w:rPr>
                <w:rFonts w:ascii="Arial" w:hAnsi="Arial" w:cs="Arial"/>
                <w:sz w:val="20"/>
              </w:rPr>
              <w:t xml:space="preserve"> 2020.</w:t>
            </w:r>
            <w:r w:rsidRPr="007C272B">
              <w:rPr>
                <w:rFonts w:ascii="Arial" w:hAnsi="Arial" w:cs="Arial"/>
                <w:sz w:val="20"/>
              </w:rPr>
              <w:t xml:space="preserve"> "Measurement Error and the Specification of the Weights Matrix in Spatial Regression Models." </w:t>
            </w:r>
            <w:r w:rsidRPr="007C272B">
              <w:rPr>
                <w:rFonts w:ascii="Arial" w:hAnsi="Arial" w:cs="Arial"/>
                <w:i/>
                <w:sz w:val="20"/>
              </w:rPr>
              <w:t>Political Analysis</w:t>
            </w:r>
            <w:r>
              <w:rPr>
                <w:rFonts w:ascii="Arial" w:hAnsi="Arial" w:cs="Arial"/>
                <w:sz w:val="20"/>
              </w:rPr>
              <w:t xml:space="preserve"> 28(2</w:t>
            </w:r>
            <w:r w:rsidRPr="007C272B">
              <w:rPr>
                <w:rFonts w:ascii="Arial" w:hAnsi="Arial" w:cs="Arial"/>
                <w:sz w:val="20"/>
              </w:rPr>
              <w:t>): 284-292.</w:t>
            </w:r>
          </w:p>
          <w:p w:rsidR="00C22D31" w:rsidRDefault="00C22D31" w:rsidP="005565CB">
            <w:pPr>
              <w:rPr>
                <w:rFonts w:ascii="Arial" w:hAnsi="Arial" w:cs="Arial"/>
                <w:sz w:val="20"/>
              </w:rPr>
            </w:pPr>
          </w:p>
          <w:p w:rsidR="005565CB" w:rsidRDefault="005565CB" w:rsidP="005565CB">
            <w:pPr>
              <w:rPr>
                <w:rFonts w:ascii="Arial" w:hAnsi="Arial" w:cs="Arial"/>
                <w:b/>
                <w:sz w:val="20"/>
              </w:rPr>
            </w:pPr>
            <w:r>
              <w:rPr>
                <w:rFonts w:ascii="Arial" w:hAnsi="Arial" w:cs="Arial"/>
                <w:b/>
                <w:sz w:val="20"/>
              </w:rPr>
              <w:t>Week 1</w:t>
            </w:r>
            <w:r w:rsidR="002E3431">
              <w:rPr>
                <w:rFonts w:ascii="Arial" w:hAnsi="Arial" w:cs="Arial"/>
                <w:b/>
                <w:sz w:val="20"/>
              </w:rPr>
              <w:t>1</w:t>
            </w:r>
            <w:r>
              <w:rPr>
                <w:rFonts w:ascii="Arial" w:hAnsi="Arial" w:cs="Arial"/>
                <w:b/>
                <w:sz w:val="20"/>
              </w:rPr>
              <w:t>:</w:t>
            </w:r>
            <w:r w:rsidR="007C272B">
              <w:rPr>
                <w:rFonts w:ascii="Arial" w:hAnsi="Arial" w:cs="Arial"/>
                <w:b/>
                <w:sz w:val="20"/>
              </w:rPr>
              <w:t xml:space="preserve"> Dependence in</w:t>
            </w:r>
            <w:r>
              <w:rPr>
                <w:rFonts w:ascii="Arial" w:hAnsi="Arial" w:cs="Arial"/>
                <w:b/>
                <w:sz w:val="20"/>
              </w:rPr>
              <w:t xml:space="preserve"> </w:t>
            </w:r>
            <w:r w:rsidR="00A66F6A">
              <w:rPr>
                <w:rFonts w:ascii="Arial" w:hAnsi="Arial" w:cs="Arial"/>
                <w:b/>
                <w:sz w:val="20"/>
              </w:rPr>
              <w:t>Non-Normally Distributed</w:t>
            </w:r>
            <w:r w:rsidR="00B5599D">
              <w:rPr>
                <w:rFonts w:ascii="Arial" w:hAnsi="Arial" w:cs="Arial"/>
                <w:b/>
                <w:sz w:val="20"/>
              </w:rPr>
              <w:t xml:space="preserve"> Data</w:t>
            </w:r>
          </w:p>
          <w:p w:rsidR="00C22D31" w:rsidRDefault="00C22D31" w:rsidP="009D074D">
            <w:pPr>
              <w:rPr>
                <w:rFonts w:ascii="Arial" w:hAnsi="Arial" w:cs="Arial"/>
                <w:sz w:val="20"/>
              </w:rPr>
            </w:pPr>
            <w:r w:rsidRPr="007C272B">
              <w:rPr>
                <w:rFonts w:ascii="Arial" w:hAnsi="Arial" w:cs="Arial"/>
                <w:sz w:val="20"/>
              </w:rPr>
              <w:t xml:space="preserve">Cook, Scott J., Jude C. Hays, and Robert J. Franzese. 2020. “Fixed Effects in Rare Events Data: A Penalized Maximum Likelihood Approach,” </w:t>
            </w:r>
            <w:r w:rsidRPr="00D47F33">
              <w:rPr>
                <w:rFonts w:ascii="Arial" w:hAnsi="Arial" w:cs="Arial"/>
                <w:i/>
                <w:sz w:val="20"/>
              </w:rPr>
              <w:t>Political Science Research and Methods</w:t>
            </w:r>
            <w:r w:rsidRPr="007C272B">
              <w:rPr>
                <w:rFonts w:ascii="Arial" w:hAnsi="Arial" w:cs="Arial"/>
                <w:sz w:val="20"/>
              </w:rPr>
              <w:t>. 8(1): 92-105.</w:t>
            </w:r>
          </w:p>
          <w:p w:rsidR="009D074D" w:rsidRDefault="009D074D" w:rsidP="009D074D">
            <w:pPr>
              <w:rPr>
                <w:rFonts w:ascii="Arial" w:hAnsi="Arial" w:cs="Arial"/>
                <w:sz w:val="20"/>
              </w:rPr>
            </w:pPr>
            <w:r w:rsidRPr="009D074D">
              <w:rPr>
                <w:rFonts w:ascii="Arial" w:hAnsi="Arial" w:cs="Arial"/>
                <w:sz w:val="20"/>
              </w:rPr>
              <w:t xml:space="preserve">Carter, David B. and Curtis S. </w:t>
            </w:r>
            <w:proofErr w:type="spellStart"/>
            <w:r w:rsidRPr="009D074D">
              <w:rPr>
                <w:rFonts w:ascii="Arial" w:hAnsi="Arial" w:cs="Arial"/>
                <w:sz w:val="20"/>
              </w:rPr>
              <w:t>Signorino</w:t>
            </w:r>
            <w:proofErr w:type="spellEnd"/>
            <w:r w:rsidRPr="009D074D">
              <w:rPr>
                <w:rFonts w:ascii="Arial" w:hAnsi="Arial" w:cs="Arial"/>
                <w:sz w:val="20"/>
              </w:rPr>
              <w:t>. 2010. “Back to the future: Modeling time dependence in binary data.”</w:t>
            </w:r>
            <w:r w:rsidR="00D47F33">
              <w:rPr>
                <w:rFonts w:ascii="Arial" w:hAnsi="Arial" w:cs="Arial"/>
                <w:sz w:val="20"/>
              </w:rPr>
              <w:t xml:space="preserve"> </w:t>
            </w:r>
            <w:r w:rsidRPr="009D074D">
              <w:rPr>
                <w:rFonts w:ascii="Arial" w:hAnsi="Arial" w:cs="Arial"/>
                <w:i/>
                <w:sz w:val="20"/>
              </w:rPr>
              <w:t>Political Analysis</w:t>
            </w:r>
            <w:r w:rsidRPr="009D074D">
              <w:rPr>
                <w:rFonts w:ascii="Arial" w:hAnsi="Arial" w:cs="Arial"/>
                <w:sz w:val="20"/>
              </w:rPr>
              <w:t xml:space="preserve"> 18(3):271-292.</w:t>
            </w:r>
          </w:p>
          <w:p w:rsidR="00666BFE" w:rsidRPr="00666BFE" w:rsidRDefault="00666BFE" w:rsidP="00666BFE">
            <w:pPr>
              <w:rPr>
                <w:rFonts w:ascii="Arial" w:hAnsi="Arial" w:cs="Arial"/>
                <w:sz w:val="20"/>
              </w:rPr>
            </w:pPr>
            <w:r>
              <w:rPr>
                <w:rFonts w:ascii="Arial" w:hAnsi="Arial" w:cs="Arial"/>
                <w:sz w:val="20"/>
              </w:rPr>
              <w:t>Beck, Nathaniel, David Epstein, Simon Jackman, and Sharyn O’Halloran. 2001. “Alternative Models of Dynamics in Binary Time-Series-Cross-Section Models: The Example of State Failure.” Institute for Social and Economic Research and Policy Working Papers, Columbia University.</w:t>
            </w:r>
          </w:p>
          <w:p w:rsidR="007C272B" w:rsidRDefault="007C272B" w:rsidP="009D074D">
            <w:pPr>
              <w:rPr>
                <w:rFonts w:ascii="Arial" w:hAnsi="Arial" w:cs="Arial"/>
                <w:sz w:val="20"/>
              </w:rPr>
            </w:pPr>
            <w:r w:rsidRPr="007C272B">
              <w:rPr>
                <w:rFonts w:ascii="Arial" w:hAnsi="Arial" w:cs="Arial"/>
                <w:sz w:val="20"/>
              </w:rPr>
              <w:t xml:space="preserve">Franzese, Robert J., Jude C. Hays, and Scott J. Cook. 2016.  “Spatial- and Spatiotemporal-Autoregressive </w:t>
            </w:r>
            <w:proofErr w:type="spellStart"/>
            <w:r w:rsidRPr="007C272B">
              <w:rPr>
                <w:rFonts w:ascii="Arial" w:hAnsi="Arial" w:cs="Arial"/>
                <w:sz w:val="20"/>
              </w:rPr>
              <w:t>Probit</w:t>
            </w:r>
            <w:proofErr w:type="spellEnd"/>
            <w:r w:rsidRPr="007C272B">
              <w:rPr>
                <w:rFonts w:ascii="Arial" w:hAnsi="Arial" w:cs="Arial"/>
                <w:sz w:val="20"/>
              </w:rPr>
              <w:t xml:space="preserve"> Models of Interdependent Binary Outcomes,” </w:t>
            </w:r>
            <w:r w:rsidRPr="007C272B">
              <w:rPr>
                <w:rFonts w:ascii="Arial" w:hAnsi="Arial" w:cs="Arial"/>
                <w:i/>
                <w:sz w:val="20"/>
              </w:rPr>
              <w:t>Political Science Research and Methods</w:t>
            </w:r>
            <w:r w:rsidRPr="007C272B">
              <w:rPr>
                <w:rFonts w:ascii="Arial" w:hAnsi="Arial" w:cs="Arial"/>
                <w:sz w:val="20"/>
              </w:rPr>
              <w:t xml:space="preserve"> 4(1): 151-173.</w:t>
            </w:r>
          </w:p>
          <w:p w:rsidR="009D074D" w:rsidRDefault="009D074D" w:rsidP="009D074D">
            <w:pPr>
              <w:rPr>
                <w:rFonts w:ascii="Arial" w:hAnsi="Arial" w:cs="Arial"/>
                <w:sz w:val="20"/>
              </w:rPr>
            </w:pPr>
          </w:p>
          <w:p w:rsidR="00012A9E" w:rsidRDefault="00B0295F" w:rsidP="00F77646">
            <w:pPr>
              <w:rPr>
                <w:rFonts w:ascii="Arial" w:hAnsi="Arial" w:cs="Arial"/>
                <w:b/>
                <w:sz w:val="20"/>
              </w:rPr>
            </w:pPr>
            <w:r w:rsidRPr="008351FE">
              <w:rPr>
                <w:rFonts w:ascii="Arial" w:hAnsi="Arial" w:cs="Arial"/>
                <w:b/>
                <w:sz w:val="20"/>
              </w:rPr>
              <w:t>Week 1</w:t>
            </w:r>
            <w:r w:rsidR="00C22D31">
              <w:rPr>
                <w:rFonts w:ascii="Arial" w:hAnsi="Arial" w:cs="Arial"/>
                <w:b/>
                <w:sz w:val="20"/>
              </w:rPr>
              <w:t>2-13</w:t>
            </w:r>
            <w:r w:rsidRPr="008351FE">
              <w:rPr>
                <w:rFonts w:ascii="Arial" w:hAnsi="Arial" w:cs="Arial"/>
                <w:b/>
                <w:sz w:val="20"/>
              </w:rPr>
              <w:t>:</w:t>
            </w:r>
            <w:r>
              <w:rPr>
                <w:rFonts w:ascii="Arial" w:hAnsi="Arial" w:cs="Arial"/>
                <w:b/>
                <w:sz w:val="20"/>
              </w:rPr>
              <w:t xml:space="preserve"> </w:t>
            </w:r>
            <w:r w:rsidR="00F77646">
              <w:rPr>
                <w:rFonts w:ascii="Arial" w:hAnsi="Arial" w:cs="Arial"/>
                <w:b/>
                <w:sz w:val="20"/>
              </w:rPr>
              <w:t>Flex Week</w:t>
            </w:r>
            <w:r w:rsidR="00C22D31">
              <w:rPr>
                <w:rFonts w:ascii="Arial" w:hAnsi="Arial" w:cs="Arial"/>
                <w:b/>
                <w:sz w:val="20"/>
              </w:rPr>
              <w:t>s</w:t>
            </w:r>
          </w:p>
          <w:p w:rsidR="00F77646" w:rsidRDefault="00F77646" w:rsidP="00F77646">
            <w:pPr>
              <w:rPr>
                <w:rFonts w:ascii="Arial" w:hAnsi="Arial" w:cs="Arial"/>
                <w:b/>
                <w:sz w:val="20"/>
              </w:rPr>
            </w:pPr>
          </w:p>
          <w:p w:rsidR="00F77646" w:rsidRDefault="00F77646" w:rsidP="00F77646">
            <w:pPr>
              <w:rPr>
                <w:rFonts w:ascii="Arial" w:hAnsi="Arial" w:cs="Arial"/>
                <w:b/>
                <w:sz w:val="20"/>
              </w:rPr>
            </w:pPr>
            <w:r>
              <w:rPr>
                <w:rFonts w:ascii="Arial" w:hAnsi="Arial" w:cs="Arial"/>
                <w:b/>
                <w:sz w:val="20"/>
              </w:rPr>
              <w:t>Week 14: Final Exam</w:t>
            </w:r>
          </w:p>
          <w:p w:rsidR="00C22D31" w:rsidRDefault="00C22D31" w:rsidP="00F77646">
            <w:pPr>
              <w:rPr>
                <w:rFonts w:ascii="Arial" w:hAnsi="Arial" w:cs="Arial"/>
                <w:b/>
                <w:sz w:val="20"/>
              </w:rPr>
            </w:pPr>
          </w:p>
          <w:p w:rsidR="00C22D31" w:rsidRPr="00C22D31" w:rsidRDefault="00C22D31" w:rsidP="00F77646">
            <w:pPr>
              <w:rPr>
                <w:rFonts w:ascii="Arial" w:hAnsi="Arial" w:cs="Arial"/>
                <w:sz w:val="20"/>
              </w:rPr>
            </w:pPr>
            <w:r w:rsidRPr="00C22D31">
              <w:rPr>
                <w:rFonts w:ascii="Arial" w:hAnsi="Arial" w:cs="Arial"/>
                <w:sz w:val="20"/>
              </w:rPr>
              <w:t>The course syllabus is a general plan for the course; deviations announced to the class by the instructor may be necessary.</w:t>
            </w:r>
          </w:p>
        </w:tc>
      </w:tr>
      <w:tr w:rsidR="00B0295F" w:rsidRPr="00C2322F" w:rsidTr="00D76428">
        <w:tc>
          <w:tcPr>
            <w:tcW w:w="10340" w:type="dxa"/>
            <w:shd w:val="clear" w:color="auto" w:fill="auto"/>
          </w:tcPr>
          <w:p w:rsidR="00B0295F" w:rsidRDefault="00B0295F" w:rsidP="00B0295F">
            <w:pPr>
              <w:jc w:val="center"/>
              <w:rPr>
                <w:rFonts w:ascii="Arial" w:hAnsi="Arial" w:cs="Arial"/>
                <w:b/>
                <w:sz w:val="20"/>
              </w:rPr>
            </w:pPr>
          </w:p>
        </w:tc>
      </w:tr>
    </w:tbl>
    <w:p w:rsidR="000C6758" w:rsidRDefault="000C6758" w:rsidP="00EB3D57"/>
    <w:sectPr w:rsidR="000C6758" w:rsidSect="004E24A2">
      <w:footerReference w:type="default" r:id="rId14"/>
      <w:pgSz w:w="12240" w:h="15840" w:code="1"/>
      <w:pgMar w:top="1080" w:right="1440" w:bottom="1080" w:left="1440" w:header="432" w:footer="432"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699" w:rsidRDefault="00933699">
      <w:r>
        <w:separator/>
      </w:r>
    </w:p>
  </w:endnote>
  <w:endnote w:type="continuationSeparator" w:id="0">
    <w:p w:rsidR="00933699" w:rsidRDefault="0093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72B" w:rsidRPr="009C05D2" w:rsidRDefault="007C272B">
    <w:pPr>
      <w:pStyle w:val="Footer"/>
      <w:rPr>
        <w:rFonts w:ascii="Arial" w:hAnsi="Arial"/>
        <w:sz w:val="16"/>
      </w:rPr>
    </w:pPr>
    <w:r w:rsidRPr="009C05D2">
      <w:rPr>
        <w:rFonts w:ascii="Arial" w:hAnsi="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699" w:rsidRDefault="00933699">
      <w:r>
        <w:separator/>
      </w:r>
    </w:p>
  </w:footnote>
  <w:footnote w:type="continuationSeparator" w:id="0">
    <w:p w:rsidR="00933699" w:rsidRDefault="00933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45D6F"/>
    <w:multiLevelType w:val="hybridMultilevel"/>
    <w:tmpl w:val="59F46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0F0C76"/>
    <w:multiLevelType w:val="hybridMultilevel"/>
    <w:tmpl w:val="7DF0D92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C6E69FA"/>
    <w:multiLevelType w:val="hybridMultilevel"/>
    <w:tmpl w:val="F202CF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D378B7"/>
    <w:multiLevelType w:val="hybridMultilevel"/>
    <w:tmpl w:val="A44A26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2E67F6"/>
    <w:multiLevelType w:val="multilevel"/>
    <w:tmpl w:val="320A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3F"/>
    <w:rsid w:val="000049DD"/>
    <w:rsid w:val="00012A9E"/>
    <w:rsid w:val="00021EC3"/>
    <w:rsid w:val="00045602"/>
    <w:rsid w:val="000463E9"/>
    <w:rsid w:val="0005221C"/>
    <w:rsid w:val="00056138"/>
    <w:rsid w:val="00060777"/>
    <w:rsid w:val="0006705C"/>
    <w:rsid w:val="00087506"/>
    <w:rsid w:val="000977CC"/>
    <w:rsid w:val="000C158F"/>
    <w:rsid w:val="000C6758"/>
    <w:rsid w:val="000E164C"/>
    <w:rsid w:val="000E4BD1"/>
    <w:rsid w:val="000E5A69"/>
    <w:rsid w:val="000E758D"/>
    <w:rsid w:val="001233AB"/>
    <w:rsid w:val="00130F15"/>
    <w:rsid w:val="0013130F"/>
    <w:rsid w:val="00137BFD"/>
    <w:rsid w:val="0014674F"/>
    <w:rsid w:val="00163629"/>
    <w:rsid w:val="00170F91"/>
    <w:rsid w:val="00174639"/>
    <w:rsid w:val="0017759C"/>
    <w:rsid w:val="001825D8"/>
    <w:rsid w:val="00183CB1"/>
    <w:rsid w:val="00193C9B"/>
    <w:rsid w:val="00194365"/>
    <w:rsid w:val="001D3E46"/>
    <w:rsid w:val="001F35E9"/>
    <w:rsid w:val="001F36A8"/>
    <w:rsid w:val="002033B0"/>
    <w:rsid w:val="00211D4D"/>
    <w:rsid w:val="00212E65"/>
    <w:rsid w:val="00217FEB"/>
    <w:rsid w:val="00220C47"/>
    <w:rsid w:val="0023478A"/>
    <w:rsid w:val="002351C2"/>
    <w:rsid w:val="002468DD"/>
    <w:rsid w:val="00247A0A"/>
    <w:rsid w:val="0025030F"/>
    <w:rsid w:val="00251866"/>
    <w:rsid w:val="00252E53"/>
    <w:rsid w:val="00255267"/>
    <w:rsid w:val="00256DE4"/>
    <w:rsid w:val="00280013"/>
    <w:rsid w:val="00280197"/>
    <w:rsid w:val="002A118B"/>
    <w:rsid w:val="002A1F1E"/>
    <w:rsid w:val="002A2358"/>
    <w:rsid w:val="002C4E1F"/>
    <w:rsid w:val="002C672A"/>
    <w:rsid w:val="002E3431"/>
    <w:rsid w:val="0030321B"/>
    <w:rsid w:val="00305671"/>
    <w:rsid w:val="00320701"/>
    <w:rsid w:val="0032782C"/>
    <w:rsid w:val="00355C07"/>
    <w:rsid w:val="00366889"/>
    <w:rsid w:val="00373F5C"/>
    <w:rsid w:val="00396748"/>
    <w:rsid w:val="003A394C"/>
    <w:rsid w:val="003C44B6"/>
    <w:rsid w:val="003C7011"/>
    <w:rsid w:val="003D233F"/>
    <w:rsid w:val="003D55EC"/>
    <w:rsid w:val="003D7214"/>
    <w:rsid w:val="003E7EC6"/>
    <w:rsid w:val="00426D21"/>
    <w:rsid w:val="00444053"/>
    <w:rsid w:val="00445816"/>
    <w:rsid w:val="00446EE1"/>
    <w:rsid w:val="00450627"/>
    <w:rsid w:val="00465256"/>
    <w:rsid w:val="0047298A"/>
    <w:rsid w:val="00474AAA"/>
    <w:rsid w:val="00484DCE"/>
    <w:rsid w:val="00485AB3"/>
    <w:rsid w:val="004B0B80"/>
    <w:rsid w:val="004B284C"/>
    <w:rsid w:val="004B40EB"/>
    <w:rsid w:val="004C0D41"/>
    <w:rsid w:val="004C179E"/>
    <w:rsid w:val="004D479E"/>
    <w:rsid w:val="004E1A18"/>
    <w:rsid w:val="004E24A2"/>
    <w:rsid w:val="004E61E2"/>
    <w:rsid w:val="004F57BA"/>
    <w:rsid w:val="004F609F"/>
    <w:rsid w:val="005066E8"/>
    <w:rsid w:val="00540D44"/>
    <w:rsid w:val="005562DE"/>
    <w:rsid w:val="005565CB"/>
    <w:rsid w:val="00567251"/>
    <w:rsid w:val="00580100"/>
    <w:rsid w:val="00583DFF"/>
    <w:rsid w:val="00584878"/>
    <w:rsid w:val="005A2533"/>
    <w:rsid w:val="005B4CF2"/>
    <w:rsid w:val="005B71F0"/>
    <w:rsid w:val="006009D5"/>
    <w:rsid w:val="00604A83"/>
    <w:rsid w:val="006247F0"/>
    <w:rsid w:val="00625AD0"/>
    <w:rsid w:val="00625DC6"/>
    <w:rsid w:val="00632965"/>
    <w:rsid w:val="006437CD"/>
    <w:rsid w:val="00643C3F"/>
    <w:rsid w:val="00654087"/>
    <w:rsid w:val="00662D1D"/>
    <w:rsid w:val="0066698B"/>
    <w:rsid w:val="00666BFE"/>
    <w:rsid w:val="00677979"/>
    <w:rsid w:val="00686D15"/>
    <w:rsid w:val="0069328D"/>
    <w:rsid w:val="006936F6"/>
    <w:rsid w:val="00696B3A"/>
    <w:rsid w:val="006A04F1"/>
    <w:rsid w:val="006A74A2"/>
    <w:rsid w:val="006B53AE"/>
    <w:rsid w:val="006C3FDA"/>
    <w:rsid w:val="006C67DC"/>
    <w:rsid w:val="006C6BF2"/>
    <w:rsid w:val="006D36E6"/>
    <w:rsid w:val="006E547C"/>
    <w:rsid w:val="006F1AEA"/>
    <w:rsid w:val="00717DC6"/>
    <w:rsid w:val="00761C2D"/>
    <w:rsid w:val="00792C48"/>
    <w:rsid w:val="007B7CF7"/>
    <w:rsid w:val="007C272B"/>
    <w:rsid w:val="007C2C4A"/>
    <w:rsid w:val="007C3BCB"/>
    <w:rsid w:val="007C7C3F"/>
    <w:rsid w:val="008034F7"/>
    <w:rsid w:val="00807488"/>
    <w:rsid w:val="00820590"/>
    <w:rsid w:val="008351FE"/>
    <w:rsid w:val="00835567"/>
    <w:rsid w:val="00846D53"/>
    <w:rsid w:val="0084774A"/>
    <w:rsid w:val="0086630F"/>
    <w:rsid w:val="00881E1F"/>
    <w:rsid w:val="008834C4"/>
    <w:rsid w:val="00884395"/>
    <w:rsid w:val="00890346"/>
    <w:rsid w:val="008B0848"/>
    <w:rsid w:val="008B6282"/>
    <w:rsid w:val="008C227A"/>
    <w:rsid w:val="008C6CBC"/>
    <w:rsid w:val="009219B4"/>
    <w:rsid w:val="00933699"/>
    <w:rsid w:val="00945EBD"/>
    <w:rsid w:val="00952607"/>
    <w:rsid w:val="009705B4"/>
    <w:rsid w:val="009843E4"/>
    <w:rsid w:val="0098463D"/>
    <w:rsid w:val="009B2693"/>
    <w:rsid w:val="009C0782"/>
    <w:rsid w:val="009D074D"/>
    <w:rsid w:val="009D4F88"/>
    <w:rsid w:val="009D5167"/>
    <w:rsid w:val="009F263F"/>
    <w:rsid w:val="00A056DC"/>
    <w:rsid w:val="00A16AB6"/>
    <w:rsid w:val="00A23C46"/>
    <w:rsid w:val="00A23D52"/>
    <w:rsid w:val="00A25AF0"/>
    <w:rsid w:val="00A36720"/>
    <w:rsid w:val="00A46257"/>
    <w:rsid w:val="00A66F6A"/>
    <w:rsid w:val="00A744F2"/>
    <w:rsid w:val="00A83152"/>
    <w:rsid w:val="00A90117"/>
    <w:rsid w:val="00AA0A6A"/>
    <w:rsid w:val="00AA7317"/>
    <w:rsid w:val="00AA7356"/>
    <w:rsid w:val="00AB115D"/>
    <w:rsid w:val="00AB508D"/>
    <w:rsid w:val="00AC548B"/>
    <w:rsid w:val="00AD084A"/>
    <w:rsid w:val="00AE011D"/>
    <w:rsid w:val="00AE1CA2"/>
    <w:rsid w:val="00AE332D"/>
    <w:rsid w:val="00B0295F"/>
    <w:rsid w:val="00B1776C"/>
    <w:rsid w:val="00B26D1E"/>
    <w:rsid w:val="00B40966"/>
    <w:rsid w:val="00B4474D"/>
    <w:rsid w:val="00B5599D"/>
    <w:rsid w:val="00B60CCC"/>
    <w:rsid w:val="00B91F35"/>
    <w:rsid w:val="00B9330C"/>
    <w:rsid w:val="00B9408D"/>
    <w:rsid w:val="00BA131C"/>
    <w:rsid w:val="00BC3A05"/>
    <w:rsid w:val="00BF2FDE"/>
    <w:rsid w:val="00C03BE6"/>
    <w:rsid w:val="00C22D31"/>
    <w:rsid w:val="00C2322F"/>
    <w:rsid w:val="00C327C8"/>
    <w:rsid w:val="00C35399"/>
    <w:rsid w:val="00C55403"/>
    <w:rsid w:val="00C7320D"/>
    <w:rsid w:val="00C768FB"/>
    <w:rsid w:val="00C84012"/>
    <w:rsid w:val="00C96DB3"/>
    <w:rsid w:val="00CA0771"/>
    <w:rsid w:val="00CA52BA"/>
    <w:rsid w:val="00CA65DE"/>
    <w:rsid w:val="00CB6754"/>
    <w:rsid w:val="00CB6B21"/>
    <w:rsid w:val="00CB762A"/>
    <w:rsid w:val="00CD566E"/>
    <w:rsid w:val="00CD62DC"/>
    <w:rsid w:val="00CE463E"/>
    <w:rsid w:val="00D015BF"/>
    <w:rsid w:val="00D11161"/>
    <w:rsid w:val="00D14721"/>
    <w:rsid w:val="00D1532C"/>
    <w:rsid w:val="00D205CB"/>
    <w:rsid w:val="00D47210"/>
    <w:rsid w:val="00D47813"/>
    <w:rsid w:val="00D47F33"/>
    <w:rsid w:val="00D52768"/>
    <w:rsid w:val="00D5503C"/>
    <w:rsid w:val="00D64EB5"/>
    <w:rsid w:val="00D6678E"/>
    <w:rsid w:val="00D71E80"/>
    <w:rsid w:val="00D76428"/>
    <w:rsid w:val="00D868C2"/>
    <w:rsid w:val="00D87ECF"/>
    <w:rsid w:val="00D91E66"/>
    <w:rsid w:val="00DB1BBA"/>
    <w:rsid w:val="00DC4367"/>
    <w:rsid w:val="00DC47F7"/>
    <w:rsid w:val="00DC53FC"/>
    <w:rsid w:val="00DE078E"/>
    <w:rsid w:val="00DF49AC"/>
    <w:rsid w:val="00DF534B"/>
    <w:rsid w:val="00E1333D"/>
    <w:rsid w:val="00E47081"/>
    <w:rsid w:val="00E5077F"/>
    <w:rsid w:val="00E61B48"/>
    <w:rsid w:val="00E70B19"/>
    <w:rsid w:val="00E75B75"/>
    <w:rsid w:val="00E80FD8"/>
    <w:rsid w:val="00E95626"/>
    <w:rsid w:val="00EA6FFA"/>
    <w:rsid w:val="00EB3D57"/>
    <w:rsid w:val="00EB4776"/>
    <w:rsid w:val="00EC5DF2"/>
    <w:rsid w:val="00EC794C"/>
    <w:rsid w:val="00EC7A52"/>
    <w:rsid w:val="00ED0043"/>
    <w:rsid w:val="00ED2D0A"/>
    <w:rsid w:val="00ED5340"/>
    <w:rsid w:val="00EE4809"/>
    <w:rsid w:val="00F0176F"/>
    <w:rsid w:val="00F06BE8"/>
    <w:rsid w:val="00F207A9"/>
    <w:rsid w:val="00F415AC"/>
    <w:rsid w:val="00F74ED4"/>
    <w:rsid w:val="00F77646"/>
    <w:rsid w:val="00F94A8A"/>
    <w:rsid w:val="00FB4B02"/>
    <w:rsid w:val="00FC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A3FB710-DD72-4BFA-8A33-B684365D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8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05D2"/>
    <w:rPr>
      <w:color w:val="0000FF"/>
      <w:u w:val="single"/>
    </w:rPr>
  </w:style>
  <w:style w:type="paragraph" w:styleId="Header">
    <w:name w:val="header"/>
    <w:basedOn w:val="Normal"/>
    <w:rsid w:val="009C05D2"/>
    <w:pPr>
      <w:tabs>
        <w:tab w:val="center" w:pos="4320"/>
        <w:tab w:val="right" w:pos="8640"/>
      </w:tabs>
    </w:pPr>
  </w:style>
  <w:style w:type="paragraph" w:styleId="Footer">
    <w:name w:val="footer"/>
    <w:basedOn w:val="Normal"/>
    <w:semiHidden/>
    <w:rsid w:val="009C05D2"/>
    <w:pPr>
      <w:tabs>
        <w:tab w:val="center" w:pos="4320"/>
        <w:tab w:val="right" w:pos="8640"/>
      </w:tabs>
    </w:pPr>
  </w:style>
  <w:style w:type="character" w:styleId="PageNumber">
    <w:name w:val="page number"/>
    <w:basedOn w:val="DefaultParagraphFont"/>
    <w:rsid w:val="009C05D2"/>
  </w:style>
  <w:style w:type="character" w:styleId="FollowedHyperlink">
    <w:name w:val="FollowedHyperlink"/>
    <w:rsid w:val="009C05D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35902">
      <w:bodyDiv w:val="1"/>
      <w:marLeft w:val="0"/>
      <w:marRight w:val="0"/>
      <w:marTop w:val="0"/>
      <w:marBottom w:val="0"/>
      <w:divBdr>
        <w:top w:val="none" w:sz="0" w:space="0" w:color="auto"/>
        <w:left w:val="none" w:sz="0" w:space="0" w:color="auto"/>
        <w:bottom w:val="none" w:sz="0" w:space="0" w:color="auto"/>
        <w:right w:val="none" w:sz="0" w:space="0" w:color="auto"/>
      </w:divBdr>
    </w:div>
    <w:div w:id="593324660">
      <w:bodyDiv w:val="1"/>
      <w:marLeft w:val="0"/>
      <w:marRight w:val="0"/>
      <w:marTop w:val="0"/>
      <w:marBottom w:val="0"/>
      <w:divBdr>
        <w:top w:val="none" w:sz="0" w:space="0" w:color="auto"/>
        <w:left w:val="none" w:sz="0" w:space="0" w:color="auto"/>
        <w:bottom w:val="none" w:sz="0" w:space="0" w:color="auto"/>
        <w:right w:val="none" w:sz="0" w:space="0" w:color="auto"/>
      </w:divBdr>
    </w:div>
    <w:div w:id="661739338">
      <w:bodyDiv w:val="1"/>
      <w:marLeft w:val="0"/>
      <w:marRight w:val="0"/>
      <w:marTop w:val="0"/>
      <w:marBottom w:val="0"/>
      <w:divBdr>
        <w:top w:val="none" w:sz="0" w:space="0" w:color="auto"/>
        <w:left w:val="none" w:sz="0" w:space="0" w:color="auto"/>
        <w:bottom w:val="none" w:sz="0" w:space="0" w:color="auto"/>
        <w:right w:val="none" w:sz="0" w:space="0" w:color="auto"/>
      </w:divBdr>
    </w:div>
    <w:div w:id="727072084">
      <w:bodyDiv w:val="1"/>
      <w:marLeft w:val="0"/>
      <w:marRight w:val="0"/>
      <w:marTop w:val="0"/>
      <w:marBottom w:val="0"/>
      <w:divBdr>
        <w:top w:val="none" w:sz="0" w:space="0" w:color="auto"/>
        <w:left w:val="none" w:sz="0" w:space="0" w:color="auto"/>
        <w:bottom w:val="none" w:sz="0" w:space="0" w:color="auto"/>
        <w:right w:val="none" w:sz="0" w:space="0" w:color="auto"/>
      </w:divBdr>
      <w:divsChild>
        <w:div w:id="1515606298">
          <w:marLeft w:val="0"/>
          <w:marRight w:val="0"/>
          <w:marTop w:val="0"/>
          <w:marBottom w:val="0"/>
          <w:divBdr>
            <w:top w:val="none" w:sz="0" w:space="0" w:color="auto"/>
            <w:left w:val="none" w:sz="0" w:space="0" w:color="auto"/>
            <w:bottom w:val="none" w:sz="0" w:space="0" w:color="auto"/>
            <w:right w:val="none" w:sz="0" w:space="0" w:color="auto"/>
          </w:divBdr>
        </w:div>
      </w:divsChild>
    </w:div>
    <w:div w:id="962536156">
      <w:bodyDiv w:val="1"/>
      <w:marLeft w:val="0"/>
      <w:marRight w:val="0"/>
      <w:marTop w:val="0"/>
      <w:marBottom w:val="0"/>
      <w:divBdr>
        <w:top w:val="none" w:sz="0" w:space="0" w:color="auto"/>
        <w:left w:val="none" w:sz="0" w:space="0" w:color="auto"/>
        <w:bottom w:val="none" w:sz="0" w:space="0" w:color="auto"/>
        <w:right w:val="none" w:sz="0" w:space="0" w:color="auto"/>
      </w:divBdr>
    </w:div>
    <w:div w:id="962923792">
      <w:bodyDiv w:val="1"/>
      <w:marLeft w:val="0"/>
      <w:marRight w:val="0"/>
      <w:marTop w:val="0"/>
      <w:marBottom w:val="0"/>
      <w:divBdr>
        <w:top w:val="none" w:sz="0" w:space="0" w:color="auto"/>
        <w:left w:val="none" w:sz="0" w:space="0" w:color="auto"/>
        <w:bottom w:val="none" w:sz="0" w:space="0" w:color="auto"/>
        <w:right w:val="none" w:sz="0" w:space="0" w:color="auto"/>
      </w:divBdr>
    </w:div>
    <w:div w:id="11553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c.uga.edu/" TargetMode="External"/><Relationship Id="rId13" Type="http://schemas.openxmlformats.org/officeDocument/2006/relationships/hyperlink" Target="http://www.uga.edu/ovp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hs.uga.edu/bewelluga/bewellug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hs.uga.edu/info/emergenc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hs.uga.edu/bewelluga/bewelluga" TargetMode="External"/><Relationship Id="rId4" Type="http://schemas.openxmlformats.org/officeDocument/2006/relationships/webSettings" Target="webSettings.xml"/><Relationship Id="rId9" Type="http://schemas.openxmlformats.org/officeDocument/2006/relationships/hyperlink" Target="https://sco.uga.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2128</TotalTime>
  <Pages>6</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Company>TAMU</Company>
  <LinksUpToDate>false</LinksUpToDate>
  <CharactersWithSpaces>15431</CharactersWithSpaces>
  <SharedDoc>false</SharedDoc>
  <HLinks>
    <vt:vector size="12" baseType="variant">
      <vt:variant>
        <vt:i4>6422560</vt:i4>
      </vt:variant>
      <vt:variant>
        <vt:i4>3</vt:i4>
      </vt:variant>
      <vt:variant>
        <vt:i4>0</vt:i4>
      </vt:variant>
      <vt:variant>
        <vt:i4>5</vt:i4>
      </vt:variant>
      <vt:variant>
        <vt:lpwstr>http://aggiehonor.tamu.edu/</vt:lpwstr>
      </vt:variant>
      <vt:variant>
        <vt:lpwstr/>
      </vt:variant>
      <vt:variant>
        <vt:i4>7077931</vt:i4>
      </vt:variant>
      <vt:variant>
        <vt:i4>0</vt:i4>
      </vt:variant>
      <vt:variant>
        <vt:i4>0</vt:i4>
      </vt:variant>
      <vt:variant>
        <vt:i4>5</vt:i4>
      </vt:variant>
      <vt:variant>
        <vt:lpwstr>http://disability.tamu.edu/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 School</dc:creator>
  <cp:keywords/>
  <cp:lastModifiedBy>Garrett Vande Kamp</cp:lastModifiedBy>
  <cp:revision>21</cp:revision>
  <cp:lastPrinted>2019-01-14T17:04:00Z</cp:lastPrinted>
  <dcterms:created xsi:type="dcterms:W3CDTF">2020-05-26T16:33:00Z</dcterms:created>
  <dcterms:modified xsi:type="dcterms:W3CDTF">2020-08-14T20:26:00Z</dcterms:modified>
</cp:coreProperties>
</file>