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65B6" w14:textId="4343F7BE" w:rsidR="00DF3C1E" w:rsidRDefault="004910CC">
      <w:pPr>
        <w:rPr>
          <w:rFonts w:ascii="Times New Roman" w:hAnsi="Times New Roman" w:cs="Times New Roman"/>
          <w:sz w:val="24"/>
          <w:szCs w:val="24"/>
        </w:rPr>
      </w:pPr>
      <w:r w:rsidRPr="008662BF">
        <w:rPr>
          <w:rFonts w:ascii="Times New Roman" w:hAnsi="Times New Roman" w:cs="Times New Roman"/>
          <w:sz w:val="24"/>
          <w:szCs w:val="24"/>
        </w:rPr>
        <w:t>Tanner Huff</w:t>
      </w:r>
    </w:p>
    <w:p w14:paraId="21840805" w14:textId="6ACD463F" w:rsidR="004910CC" w:rsidRDefault="00E51335" w:rsidP="004910CC">
      <w:pPr>
        <w:jc w:val="center"/>
        <w:rPr>
          <w:rFonts w:ascii="Times New Roman" w:hAnsi="Times New Roman" w:cs="Times New Roman"/>
          <w:sz w:val="24"/>
          <w:szCs w:val="24"/>
        </w:rPr>
      </w:pPr>
      <w:r>
        <w:rPr>
          <w:rFonts w:ascii="Times New Roman" w:hAnsi="Times New Roman" w:cs="Times New Roman"/>
          <w:sz w:val="24"/>
          <w:szCs w:val="24"/>
        </w:rPr>
        <w:t>Blood, Sweat, and Literacy Tests: Chronicling Voting Rights in America</w:t>
      </w:r>
    </w:p>
    <w:p w14:paraId="21F0BB37" w14:textId="041F57EC" w:rsidR="004910CC" w:rsidRDefault="004910CC" w:rsidP="004910CC">
      <w:pPr>
        <w:rPr>
          <w:rFonts w:ascii="Times New Roman" w:hAnsi="Times New Roman" w:cs="Times New Roman"/>
          <w:sz w:val="24"/>
          <w:szCs w:val="24"/>
        </w:rPr>
      </w:pPr>
      <w:r>
        <w:rPr>
          <w:rFonts w:ascii="Times New Roman" w:hAnsi="Times New Roman" w:cs="Times New Roman"/>
          <w:sz w:val="24"/>
          <w:szCs w:val="24"/>
        </w:rPr>
        <w:tab/>
      </w:r>
      <w:r w:rsidR="007A3E32">
        <w:rPr>
          <w:rFonts w:ascii="Times New Roman" w:hAnsi="Times New Roman" w:cs="Times New Roman"/>
          <w:sz w:val="24"/>
          <w:szCs w:val="24"/>
        </w:rPr>
        <w:t xml:space="preserve">Of the rights the United States has vowed to protect for its citizens, one of the most fundamental is the right to vote. </w:t>
      </w:r>
      <w:r w:rsidR="00B863DF">
        <w:rPr>
          <w:rFonts w:ascii="Times New Roman" w:hAnsi="Times New Roman" w:cs="Times New Roman"/>
          <w:sz w:val="24"/>
          <w:szCs w:val="24"/>
        </w:rPr>
        <w:t>The i</w:t>
      </w:r>
      <w:r w:rsidR="007A3E32">
        <w:rPr>
          <w:rFonts w:ascii="Times New Roman" w:hAnsi="Times New Roman" w:cs="Times New Roman"/>
          <w:sz w:val="24"/>
          <w:szCs w:val="24"/>
        </w:rPr>
        <w:t xml:space="preserve">nability of citizens to </w:t>
      </w:r>
      <w:r w:rsidR="00B863DF">
        <w:rPr>
          <w:rFonts w:ascii="Times New Roman" w:hAnsi="Times New Roman" w:cs="Times New Roman"/>
          <w:sz w:val="24"/>
          <w:szCs w:val="24"/>
        </w:rPr>
        <w:t xml:space="preserve">directly access their government and </w:t>
      </w:r>
      <w:r w:rsidR="007A3E32">
        <w:rPr>
          <w:rFonts w:ascii="Times New Roman" w:hAnsi="Times New Roman" w:cs="Times New Roman"/>
          <w:sz w:val="24"/>
          <w:szCs w:val="24"/>
        </w:rPr>
        <w:t>choose their representatives was one of the causes of the American Revolution, with the phrase “no taxation without representation” being a re</w:t>
      </w:r>
      <w:r w:rsidR="006247DB">
        <w:rPr>
          <w:rFonts w:ascii="Times New Roman" w:hAnsi="Times New Roman" w:cs="Times New Roman"/>
          <w:sz w:val="24"/>
          <w:szCs w:val="24"/>
        </w:rPr>
        <w:t>je</w:t>
      </w:r>
      <w:r w:rsidR="007A3E32">
        <w:rPr>
          <w:rFonts w:ascii="Times New Roman" w:hAnsi="Times New Roman" w:cs="Times New Roman"/>
          <w:sz w:val="24"/>
          <w:szCs w:val="24"/>
        </w:rPr>
        <w:t xml:space="preserve">ction of Britain’s claim of virtual representation to the colonists. Nonetheless, </w:t>
      </w:r>
      <w:r w:rsidR="006247DB">
        <w:rPr>
          <w:rFonts w:ascii="Times New Roman" w:hAnsi="Times New Roman" w:cs="Times New Roman"/>
          <w:sz w:val="24"/>
          <w:szCs w:val="24"/>
        </w:rPr>
        <w:t>since its independence, v</w:t>
      </w:r>
      <w:bookmarkStart w:id="0" w:name="_GoBack"/>
      <w:bookmarkEnd w:id="0"/>
      <w:r w:rsidR="006247DB">
        <w:rPr>
          <w:rFonts w:ascii="Times New Roman" w:hAnsi="Times New Roman" w:cs="Times New Roman"/>
          <w:sz w:val="24"/>
          <w:szCs w:val="24"/>
        </w:rPr>
        <w:t>oting rights have had a tumultuous history in the country that claims to hold them dear, with enfranchisement of new groups being slow and infrequent.</w:t>
      </w:r>
    </w:p>
    <w:p w14:paraId="19A0FE26" w14:textId="3B5F1FC0" w:rsidR="00217FC1" w:rsidRDefault="006247DB" w:rsidP="004910CC">
      <w:pPr>
        <w:rPr>
          <w:rFonts w:ascii="Times New Roman" w:hAnsi="Times New Roman" w:cs="Times New Roman"/>
          <w:sz w:val="24"/>
          <w:szCs w:val="24"/>
        </w:rPr>
      </w:pPr>
      <w:r>
        <w:rPr>
          <w:rFonts w:ascii="Times New Roman" w:hAnsi="Times New Roman" w:cs="Times New Roman"/>
          <w:sz w:val="24"/>
          <w:szCs w:val="24"/>
        </w:rPr>
        <w:tab/>
        <w:t>In 1789, there were no federal standards for suffrage; each state determined its own requirements to cast a ballot at the polls. In all states, a certain amount of property was required to be eligible to vote on top of citizenship</w:t>
      </w:r>
      <w:r w:rsidR="00507654">
        <w:rPr>
          <w:rFonts w:ascii="Times New Roman" w:hAnsi="Times New Roman" w:cs="Times New Roman"/>
          <w:sz w:val="24"/>
          <w:szCs w:val="24"/>
        </w:rPr>
        <w:t xml:space="preserve"> (</w:t>
      </w:r>
      <w:r w:rsidR="006D0FA7">
        <w:rPr>
          <w:rFonts w:ascii="Times New Roman" w:hAnsi="Times New Roman" w:cs="Times New Roman"/>
          <w:sz w:val="24"/>
          <w:szCs w:val="24"/>
        </w:rPr>
        <w:t>Bailey and Kennedy</w:t>
      </w:r>
      <w:r w:rsidR="00507654">
        <w:rPr>
          <w:rFonts w:ascii="Times New Roman" w:hAnsi="Times New Roman" w:cs="Times New Roman"/>
          <w:sz w:val="24"/>
          <w:szCs w:val="24"/>
        </w:rPr>
        <w:t xml:space="preserve"> 80)</w:t>
      </w:r>
      <w:r>
        <w:rPr>
          <w:rFonts w:ascii="Times New Roman" w:hAnsi="Times New Roman" w:cs="Times New Roman"/>
          <w:sz w:val="24"/>
          <w:szCs w:val="24"/>
        </w:rPr>
        <w:t xml:space="preserve">. Though this did not explicitly exclude </w:t>
      </w:r>
      <w:r w:rsidR="00217FC1">
        <w:rPr>
          <w:rFonts w:ascii="Times New Roman" w:hAnsi="Times New Roman" w:cs="Times New Roman"/>
          <w:sz w:val="24"/>
          <w:szCs w:val="24"/>
        </w:rPr>
        <w:t>black men,</w:t>
      </w:r>
      <w:r>
        <w:rPr>
          <w:rFonts w:ascii="Times New Roman" w:hAnsi="Times New Roman" w:cs="Times New Roman"/>
          <w:sz w:val="24"/>
          <w:szCs w:val="24"/>
        </w:rPr>
        <w:t xml:space="preserve"> </w:t>
      </w:r>
      <w:r w:rsidR="00217FC1">
        <w:rPr>
          <w:rFonts w:ascii="Times New Roman" w:hAnsi="Times New Roman" w:cs="Times New Roman"/>
          <w:sz w:val="24"/>
          <w:szCs w:val="24"/>
        </w:rPr>
        <w:t xml:space="preserve">only </w:t>
      </w:r>
      <w:r>
        <w:rPr>
          <w:rFonts w:ascii="Times New Roman" w:hAnsi="Times New Roman" w:cs="Times New Roman"/>
          <w:sz w:val="24"/>
          <w:szCs w:val="24"/>
        </w:rPr>
        <w:t xml:space="preserve">freedmen </w:t>
      </w:r>
      <w:r w:rsidR="00217FC1">
        <w:rPr>
          <w:rFonts w:ascii="Times New Roman" w:hAnsi="Times New Roman" w:cs="Times New Roman"/>
          <w:sz w:val="24"/>
          <w:szCs w:val="24"/>
        </w:rPr>
        <w:t>could</w:t>
      </w:r>
      <w:r>
        <w:rPr>
          <w:rFonts w:ascii="Times New Roman" w:hAnsi="Times New Roman" w:cs="Times New Roman"/>
          <w:sz w:val="24"/>
          <w:szCs w:val="24"/>
        </w:rPr>
        <w:t xml:space="preserve"> own </w:t>
      </w:r>
      <w:r w:rsidR="00217FC1">
        <w:rPr>
          <w:rFonts w:ascii="Times New Roman" w:hAnsi="Times New Roman" w:cs="Times New Roman"/>
          <w:sz w:val="24"/>
          <w:szCs w:val="24"/>
        </w:rPr>
        <w:t>any property and Native Americans were rarely, if ever, considered citizens until the 1900s</w:t>
      </w:r>
      <w:r w:rsidR="00507654">
        <w:rPr>
          <w:rFonts w:ascii="Times New Roman" w:hAnsi="Times New Roman" w:cs="Times New Roman"/>
          <w:sz w:val="24"/>
          <w:szCs w:val="24"/>
        </w:rPr>
        <w:t xml:space="preserve"> (Bennett </w:t>
      </w:r>
      <w:r w:rsidR="006D0FA7">
        <w:rPr>
          <w:rFonts w:ascii="Times New Roman" w:hAnsi="Times New Roman" w:cs="Times New Roman"/>
          <w:sz w:val="24"/>
          <w:szCs w:val="24"/>
        </w:rPr>
        <w:t>225</w:t>
      </w:r>
      <w:r w:rsidR="00507654">
        <w:rPr>
          <w:rFonts w:ascii="Times New Roman" w:hAnsi="Times New Roman" w:cs="Times New Roman"/>
          <w:sz w:val="24"/>
          <w:szCs w:val="24"/>
        </w:rPr>
        <w:t>)</w:t>
      </w:r>
      <w:r w:rsidR="00217FC1">
        <w:rPr>
          <w:rFonts w:ascii="Times New Roman" w:hAnsi="Times New Roman" w:cs="Times New Roman"/>
          <w:sz w:val="24"/>
          <w:szCs w:val="24"/>
        </w:rPr>
        <w:t>. The property requirement also barred most women, who could only own property if there were no other men in her family to claim ownership. As such, the only women who could possibly vote were women who outlived their fathers, brothers, husbands, and sons</w:t>
      </w:r>
      <w:r w:rsidR="00507654">
        <w:rPr>
          <w:rFonts w:ascii="Times New Roman" w:hAnsi="Times New Roman" w:cs="Times New Roman"/>
          <w:sz w:val="24"/>
          <w:szCs w:val="24"/>
        </w:rPr>
        <w:t xml:space="preserve"> (Bennett </w:t>
      </w:r>
      <w:r w:rsidR="006D0FA7">
        <w:rPr>
          <w:rFonts w:ascii="Times New Roman" w:hAnsi="Times New Roman" w:cs="Times New Roman"/>
          <w:sz w:val="24"/>
          <w:szCs w:val="24"/>
        </w:rPr>
        <w:t>225</w:t>
      </w:r>
      <w:r w:rsidR="00507654">
        <w:rPr>
          <w:rFonts w:ascii="Times New Roman" w:hAnsi="Times New Roman" w:cs="Times New Roman"/>
          <w:sz w:val="24"/>
          <w:szCs w:val="24"/>
        </w:rPr>
        <w:t>)</w:t>
      </w:r>
      <w:r w:rsidR="00217FC1">
        <w:rPr>
          <w:rFonts w:ascii="Times New Roman" w:hAnsi="Times New Roman" w:cs="Times New Roman"/>
          <w:sz w:val="24"/>
          <w:szCs w:val="24"/>
        </w:rPr>
        <w:t>. In effect, only white men with a certain degree of wealth could access the ballot</w:t>
      </w:r>
      <w:r w:rsidR="006D0FA7">
        <w:rPr>
          <w:rFonts w:ascii="Times New Roman" w:hAnsi="Times New Roman" w:cs="Times New Roman"/>
          <w:sz w:val="24"/>
          <w:szCs w:val="24"/>
        </w:rPr>
        <w:t>- about ½ of all adult white males (Bailey and Kennedy 80)</w:t>
      </w:r>
      <w:r w:rsidR="00217FC1">
        <w:rPr>
          <w:rFonts w:ascii="Times New Roman" w:hAnsi="Times New Roman" w:cs="Times New Roman"/>
          <w:sz w:val="24"/>
          <w:szCs w:val="24"/>
        </w:rPr>
        <w:t>.</w:t>
      </w:r>
      <w:r w:rsidR="00507654">
        <w:rPr>
          <w:rFonts w:ascii="Times New Roman" w:hAnsi="Times New Roman" w:cs="Times New Roman"/>
          <w:sz w:val="24"/>
          <w:szCs w:val="24"/>
        </w:rPr>
        <w:t xml:space="preserve"> </w:t>
      </w:r>
      <w:r w:rsidR="00217FC1">
        <w:rPr>
          <w:rFonts w:ascii="Times New Roman" w:hAnsi="Times New Roman" w:cs="Times New Roman"/>
          <w:sz w:val="24"/>
          <w:szCs w:val="24"/>
        </w:rPr>
        <w:t xml:space="preserve">The first states to abandon the property requirement were those on the frontier of the new country, since land was plentiful in these areas, making the property a nonissue for white men in these areas. The first state to do so was Vermont, followed by the Western territories when they were admitted to the Union. The original Thirteen Colonies resisted, but by 1828, all states had </w:t>
      </w:r>
      <w:r w:rsidR="00217FC1">
        <w:rPr>
          <w:rFonts w:ascii="Times New Roman" w:hAnsi="Times New Roman" w:cs="Times New Roman"/>
          <w:sz w:val="24"/>
          <w:szCs w:val="24"/>
        </w:rPr>
        <w:lastRenderedPageBreak/>
        <w:t>abandoned a property requirement in favor or suffrage for all white male citizens in what was dubbed “the New Democracy” (</w:t>
      </w:r>
      <w:r w:rsidR="006D0FA7">
        <w:rPr>
          <w:rFonts w:ascii="Times New Roman" w:hAnsi="Times New Roman" w:cs="Times New Roman"/>
          <w:sz w:val="24"/>
          <w:szCs w:val="24"/>
        </w:rPr>
        <w:t>Bailey and Kennedy 244-245</w:t>
      </w:r>
      <w:r w:rsidR="00217FC1">
        <w:rPr>
          <w:rFonts w:ascii="Times New Roman" w:hAnsi="Times New Roman" w:cs="Times New Roman"/>
          <w:sz w:val="24"/>
          <w:szCs w:val="24"/>
        </w:rPr>
        <w:t>).</w:t>
      </w:r>
    </w:p>
    <w:p w14:paraId="09BC1497" w14:textId="710928E2" w:rsidR="00BC4F97" w:rsidRDefault="00BC4F97" w:rsidP="004910CC">
      <w:pPr>
        <w:rPr>
          <w:rFonts w:ascii="Times New Roman" w:hAnsi="Times New Roman" w:cs="Times New Roman"/>
          <w:sz w:val="24"/>
          <w:szCs w:val="24"/>
        </w:rPr>
      </w:pPr>
      <w:r>
        <w:rPr>
          <w:rFonts w:ascii="Times New Roman" w:hAnsi="Times New Roman" w:cs="Times New Roman"/>
          <w:sz w:val="24"/>
          <w:szCs w:val="24"/>
        </w:rPr>
        <w:tab/>
      </w:r>
      <w:r w:rsidR="00245DC2">
        <w:rPr>
          <w:rFonts w:ascii="Times New Roman" w:hAnsi="Times New Roman" w:cs="Times New Roman"/>
          <w:sz w:val="24"/>
          <w:szCs w:val="24"/>
        </w:rPr>
        <w:t xml:space="preserve">Suffrage for </w:t>
      </w:r>
      <w:r w:rsidR="00AB766B">
        <w:rPr>
          <w:rFonts w:ascii="Times New Roman" w:hAnsi="Times New Roman" w:cs="Times New Roman"/>
          <w:sz w:val="24"/>
          <w:szCs w:val="24"/>
        </w:rPr>
        <w:t>immigrants has always been a real possibility, since American law as always provided means for immigrants to become naturalized citizens, though the stringency of the requirements varied depending on the public sentiments toward immigrants</w:t>
      </w:r>
      <w:r w:rsidR="006D0FA7">
        <w:rPr>
          <w:rFonts w:ascii="Times New Roman" w:hAnsi="Times New Roman" w:cs="Times New Roman"/>
          <w:sz w:val="24"/>
          <w:szCs w:val="24"/>
        </w:rPr>
        <w:t xml:space="preserve"> (Bailey and Kennedy 192-193)</w:t>
      </w:r>
      <w:r w:rsidR="00AB766B">
        <w:rPr>
          <w:rFonts w:ascii="Times New Roman" w:hAnsi="Times New Roman" w:cs="Times New Roman"/>
          <w:sz w:val="24"/>
          <w:szCs w:val="24"/>
        </w:rPr>
        <w:t xml:space="preserve">. Nonetheless, naturalized immigrants have universally had the same access to the ballot box as natural-born citizens. </w:t>
      </w:r>
      <w:r>
        <w:rPr>
          <w:rFonts w:ascii="Times New Roman" w:hAnsi="Times New Roman" w:cs="Times New Roman"/>
          <w:sz w:val="24"/>
          <w:szCs w:val="24"/>
        </w:rPr>
        <w:t xml:space="preserve">Suffrage for black men also became an increasing reality, at least in the North, as states outlawed slavery and therefore made black men citizens. However, the </w:t>
      </w:r>
      <w:r w:rsidR="00AB766B">
        <w:rPr>
          <w:rFonts w:ascii="Times New Roman" w:hAnsi="Times New Roman" w:cs="Times New Roman"/>
          <w:sz w:val="24"/>
          <w:szCs w:val="24"/>
        </w:rPr>
        <w:t xml:space="preserve">majority </w:t>
      </w:r>
      <w:r>
        <w:rPr>
          <w:rFonts w:ascii="Times New Roman" w:hAnsi="Times New Roman" w:cs="Times New Roman"/>
          <w:sz w:val="24"/>
          <w:szCs w:val="24"/>
        </w:rPr>
        <w:t xml:space="preserve">of America’s black population remained in </w:t>
      </w:r>
      <w:r w:rsidR="00AB766B">
        <w:rPr>
          <w:rFonts w:ascii="Times New Roman" w:hAnsi="Times New Roman" w:cs="Times New Roman"/>
          <w:sz w:val="24"/>
          <w:szCs w:val="24"/>
        </w:rPr>
        <w:t>chains</w:t>
      </w:r>
      <w:r>
        <w:rPr>
          <w:rFonts w:ascii="Times New Roman" w:hAnsi="Times New Roman" w:cs="Times New Roman"/>
          <w:sz w:val="24"/>
          <w:szCs w:val="24"/>
        </w:rPr>
        <w:t xml:space="preserve"> in the South. A devastating blow to black suffrage came nationwide</w:t>
      </w:r>
      <w:r w:rsidR="00E724AD">
        <w:rPr>
          <w:rFonts w:ascii="Times New Roman" w:hAnsi="Times New Roman" w:cs="Times New Roman"/>
          <w:sz w:val="24"/>
          <w:szCs w:val="24"/>
        </w:rPr>
        <w:t xml:space="preserve"> with the </w:t>
      </w:r>
      <w:r w:rsidR="00E724AD" w:rsidRPr="00E724AD">
        <w:rPr>
          <w:rFonts w:ascii="Times New Roman" w:hAnsi="Times New Roman" w:cs="Times New Roman"/>
          <w:i/>
          <w:sz w:val="24"/>
          <w:szCs w:val="24"/>
        </w:rPr>
        <w:t xml:space="preserve">Dred Scott </w:t>
      </w:r>
      <w:r w:rsidR="00E724AD">
        <w:rPr>
          <w:rFonts w:ascii="Times New Roman" w:hAnsi="Times New Roman" w:cs="Times New Roman"/>
          <w:sz w:val="24"/>
          <w:szCs w:val="24"/>
        </w:rPr>
        <w:t>decision in 1857, which declared that any black man, free or not, was not a citizen of the United States. This move threatened the enfranchisement of many, particularly the 250,000 free blacks in the South who were already considered second-class citizens by local laws (</w:t>
      </w:r>
      <w:r w:rsidR="006D0FA7">
        <w:rPr>
          <w:rFonts w:ascii="Times New Roman" w:hAnsi="Times New Roman" w:cs="Times New Roman"/>
          <w:sz w:val="24"/>
          <w:szCs w:val="24"/>
        </w:rPr>
        <w:t>Bailey and Kennedy</w:t>
      </w:r>
      <w:r w:rsidR="001715C4">
        <w:rPr>
          <w:rFonts w:ascii="Times New Roman" w:hAnsi="Times New Roman" w:cs="Times New Roman"/>
          <w:sz w:val="24"/>
          <w:szCs w:val="24"/>
        </w:rPr>
        <w:t xml:space="preserve"> 414</w:t>
      </w:r>
      <w:r w:rsidR="00E724AD">
        <w:rPr>
          <w:rFonts w:ascii="Times New Roman" w:hAnsi="Times New Roman" w:cs="Times New Roman"/>
          <w:sz w:val="24"/>
          <w:szCs w:val="24"/>
        </w:rPr>
        <w:t>)</w:t>
      </w:r>
      <w:r w:rsidR="001715C4">
        <w:rPr>
          <w:rFonts w:ascii="Times New Roman" w:hAnsi="Times New Roman" w:cs="Times New Roman"/>
          <w:sz w:val="24"/>
          <w:szCs w:val="24"/>
        </w:rPr>
        <w:t>.</w:t>
      </w:r>
    </w:p>
    <w:p w14:paraId="7D0F789F" w14:textId="5F27CB3A" w:rsidR="001715C4" w:rsidRDefault="001715C4" w:rsidP="004910CC">
      <w:pPr>
        <w:rPr>
          <w:rFonts w:ascii="Times New Roman" w:hAnsi="Times New Roman" w:cs="Times New Roman"/>
          <w:sz w:val="24"/>
          <w:szCs w:val="24"/>
        </w:rPr>
      </w:pPr>
      <w:r>
        <w:rPr>
          <w:rFonts w:ascii="Times New Roman" w:hAnsi="Times New Roman" w:cs="Times New Roman"/>
          <w:sz w:val="24"/>
          <w:szCs w:val="24"/>
        </w:rPr>
        <w:tab/>
        <w:t>When the dust of the Civil War settled, the new America took its first steps toward enfranchisement on a national level.</w:t>
      </w:r>
      <w:r w:rsidR="00C770CC">
        <w:rPr>
          <w:rFonts w:ascii="Times New Roman" w:hAnsi="Times New Roman" w:cs="Times New Roman"/>
          <w:sz w:val="24"/>
          <w:szCs w:val="24"/>
        </w:rPr>
        <w:t xml:space="preserve"> The Fourteenth Amendment was ratified, in part, to reverse the </w:t>
      </w:r>
      <w:r w:rsidR="00C770CC" w:rsidRPr="00C770CC">
        <w:rPr>
          <w:rFonts w:ascii="Times New Roman" w:hAnsi="Times New Roman" w:cs="Times New Roman"/>
          <w:i/>
          <w:sz w:val="24"/>
          <w:szCs w:val="24"/>
        </w:rPr>
        <w:t>Dred Scott</w:t>
      </w:r>
      <w:r w:rsidR="00C770CC">
        <w:rPr>
          <w:rFonts w:ascii="Times New Roman" w:hAnsi="Times New Roman" w:cs="Times New Roman"/>
          <w:sz w:val="24"/>
          <w:szCs w:val="24"/>
        </w:rPr>
        <w:t xml:space="preserve"> decision by guaranteeing citizenship to anyone born on American soil (Hewitt and Lawson 458). The Fifteenth Amendment, ratified in 1970, explicitly forbid denial of the right to vote on grounds of race alone (Hewitt and Lawson 463). However, the Amendment’s decision to forbid only racial considerations did not go unnoticed, and many women’s suffrage groups formed to protest this exclusion. After the Amendment’s passage, they attempted to get a new Amendment ratified that would expressly give women suffrage</w:t>
      </w:r>
      <w:r w:rsidR="006D0FA7">
        <w:rPr>
          <w:rFonts w:ascii="Times New Roman" w:hAnsi="Times New Roman" w:cs="Times New Roman"/>
          <w:sz w:val="24"/>
          <w:szCs w:val="24"/>
        </w:rPr>
        <w:t xml:space="preserve"> and pushed for enfranchisement on the state level.</w:t>
      </w:r>
    </w:p>
    <w:p w14:paraId="158EB7A1" w14:textId="2C26B1CA" w:rsidR="00C770CC" w:rsidRDefault="00C770CC" w:rsidP="004910CC">
      <w:pPr>
        <w:rPr>
          <w:rFonts w:ascii="Times New Roman" w:hAnsi="Times New Roman" w:cs="Times New Roman"/>
          <w:sz w:val="24"/>
          <w:szCs w:val="24"/>
        </w:rPr>
      </w:pPr>
      <w:r>
        <w:rPr>
          <w:rFonts w:ascii="Times New Roman" w:hAnsi="Times New Roman" w:cs="Times New Roman"/>
          <w:sz w:val="24"/>
          <w:szCs w:val="24"/>
        </w:rPr>
        <w:lastRenderedPageBreak/>
        <w:tab/>
        <w:t xml:space="preserve">In the decades after the Civil War, attempts to disenfranchise blacks came through unofficial means, such as the Ku Klux Klan intimidating black voters or </w:t>
      </w:r>
      <w:r w:rsidR="007560A6">
        <w:rPr>
          <w:rFonts w:ascii="Times New Roman" w:hAnsi="Times New Roman" w:cs="Times New Roman"/>
          <w:sz w:val="24"/>
          <w:szCs w:val="24"/>
        </w:rPr>
        <w:t xml:space="preserve">observing whom they cast their votes </w:t>
      </w:r>
      <w:r w:rsidR="006D0FA7">
        <w:rPr>
          <w:rFonts w:ascii="Times New Roman" w:hAnsi="Times New Roman" w:cs="Times New Roman"/>
          <w:sz w:val="24"/>
          <w:szCs w:val="24"/>
        </w:rPr>
        <w:t>for</w:t>
      </w:r>
      <w:r w:rsidR="007560A6">
        <w:rPr>
          <w:rFonts w:ascii="Times New Roman" w:hAnsi="Times New Roman" w:cs="Times New Roman"/>
          <w:sz w:val="24"/>
          <w:szCs w:val="24"/>
        </w:rPr>
        <w:t xml:space="preserve">. De jure means to curb black enfranchisement began in the South in 1890, when Mississippi became the first </w:t>
      </w:r>
      <w:r w:rsidR="006D0FA7">
        <w:rPr>
          <w:rFonts w:ascii="Times New Roman" w:hAnsi="Times New Roman" w:cs="Times New Roman"/>
          <w:sz w:val="24"/>
          <w:szCs w:val="24"/>
        </w:rPr>
        <w:t xml:space="preserve">state </w:t>
      </w:r>
      <w:r w:rsidR="007560A6">
        <w:rPr>
          <w:rFonts w:ascii="Times New Roman" w:hAnsi="Times New Roman" w:cs="Times New Roman"/>
          <w:sz w:val="24"/>
          <w:szCs w:val="24"/>
        </w:rPr>
        <w:t>to institute two means to restrict access to the polls: the literacy test and the poll tax (Bullock</w:t>
      </w:r>
      <w:r w:rsidR="006D0FA7">
        <w:rPr>
          <w:rFonts w:ascii="Times New Roman" w:hAnsi="Times New Roman" w:cs="Times New Roman"/>
          <w:sz w:val="24"/>
          <w:szCs w:val="24"/>
        </w:rPr>
        <w:t xml:space="preserve"> et al.</w:t>
      </w:r>
      <w:r w:rsidR="007560A6">
        <w:rPr>
          <w:rFonts w:ascii="Times New Roman" w:hAnsi="Times New Roman" w:cs="Times New Roman"/>
          <w:sz w:val="24"/>
          <w:szCs w:val="24"/>
        </w:rPr>
        <w:t xml:space="preserve"> 5).</w:t>
      </w:r>
      <w:r w:rsidR="006D0FA7">
        <w:rPr>
          <w:rFonts w:ascii="Times New Roman" w:hAnsi="Times New Roman" w:cs="Times New Roman"/>
          <w:sz w:val="24"/>
          <w:szCs w:val="24"/>
        </w:rPr>
        <w:t xml:space="preserve"> </w:t>
      </w:r>
      <w:r w:rsidR="007560A6">
        <w:rPr>
          <w:rFonts w:ascii="Times New Roman" w:hAnsi="Times New Roman" w:cs="Times New Roman"/>
          <w:sz w:val="24"/>
          <w:szCs w:val="24"/>
        </w:rPr>
        <w:t xml:space="preserve"> </w:t>
      </w:r>
      <w:r w:rsidR="006D0FA7">
        <w:rPr>
          <w:rFonts w:ascii="Times New Roman" w:hAnsi="Times New Roman" w:cs="Times New Roman"/>
          <w:sz w:val="24"/>
          <w:szCs w:val="24"/>
        </w:rPr>
        <w:t>Th</w:t>
      </w:r>
      <w:r w:rsidR="007560A6">
        <w:rPr>
          <w:rFonts w:ascii="Times New Roman" w:hAnsi="Times New Roman" w:cs="Times New Roman"/>
          <w:sz w:val="24"/>
          <w:szCs w:val="24"/>
        </w:rPr>
        <w:t>ese provisions passed muster under the Fifteenth Amendment</w:t>
      </w:r>
      <w:r w:rsidR="006D0FA7">
        <w:rPr>
          <w:rFonts w:ascii="Times New Roman" w:hAnsi="Times New Roman" w:cs="Times New Roman"/>
          <w:sz w:val="24"/>
          <w:szCs w:val="24"/>
        </w:rPr>
        <w:t xml:space="preserve"> because they were not outwardly racial</w:t>
      </w:r>
      <w:r w:rsidR="007560A6">
        <w:rPr>
          <w:rFonts w:ascii="Times New Roman" w:hAnsi="Times New Roman" w:cs="Times New Roman"/>
          <w:sz w:val="24"/>
          <w:szCs w:val="24"/>
        </w:rPr>
        <w:t xml:space="preserve">, but still ultimately led to the disenfranchisement of </w:t>
      </w:r>
      <w:r w:rsidR="006D0FA7">
        <w:rPr>
          <w:rFonts w:ascii="Times New Roman" w:hAnsi="Times New Roman" w:cs="Times New Roman"/>
          <w:sz w:val="24"/>
          <w:szCs w:val="24"/>
        </w:rPr>
        <w:t>Southern blacks in practice</w:t>
      </w:r>
      <w:r w:rsidR="007560A6">
        <w:rPr>
          <w:rFonts w:ascii="Times New Roman" w:hAnsi="Times New Roman" w:cs="Times New Roman"/>
          <w:sz w:val="24"/>
          <w:szCs w:val="24"/>
        </w:rPr>
        <w:t>. Literacy tests, even when applied fairly, disenfranchised most blacks and poor whites, who both had minimal education. Poll taxes were similarly crippling to the poor, who could not afford the several extra dollars it cost to register. Exemptions</w:t>
      </w:r>
      <w:r w:rsidR="00EB2B53">
        <w:rPr>
          <w:rFonts w:ascii="Times New Roman" w:hAnsi="Times New Roman" w:cs="Times New Roman"/>
          <w:sz w:val="24"/>
          <w:szCs w:val="24"/>
        </w:rPr>
        <w:t xml:space="preserve"> from the literacy tests</w:t>
      </w:r>
      <w:r w:rsidR="007560A6">
        <w:rPr>
          <w:rFonts w:ascii="Times New Roman" w:hAnsi="Times New Roman" w:cs="Times New Roman"/>
          <w:sz w:val="24"/>
          <w:szCs w:val="24"/>
        </w:rPr>
        <w:t xml:space="preserve"> for poor whites were codified into the law, primarily through the “grandfather clause”, which either enabled someone to vote if his grandfather had served in the Civil War (on either side) or had voted in the 1860 election (</w:t>
      </w:r>
      <w:r w:rsidR="00D7105F">
        <w:rPr>
          <w:rFonts w:ascii="Times New Roman" w:hAnsi="Times New Roman" w:cs="Times New Roman"/>
          <w:sz w:val="24"/>
          <w:szCs w:val="24"/>
        </w:rPr>
        <w:t>Bullock et al.</w:t>
      </w:r>
      <w:r w:rsidR="007560A6">
        <w:rPr>
          <w:rFonts w:ascii="Times New Roman" w:hAnsi="Times New Roman" w:cs="Times New Roman"/>
          <w:sz w:val="24"/>
          <w:szCs w:val="24"/>
        </w:rPr>
        <w:t xml:space="preserve"> 6)</w:t>
      </w:r>
      <w:r w:rsidR="00EB2B53">
        <w:rPr>
          <w:rFonts w:ascii="Times New Roman" w:hAnsi="Times New Roman" w:cs="Times New Roman"/>
          <w:sz w:val="24"/>
          <w:szCs w:val="24"/>
        </w:rPr>
        <w:t xml:space="preserve">- two categories dominated almost exclusively by whites. In reality, </w:t>
      </w:r>
      <w:r w:rsidR="007560A6">
        <w:rPr>
          <w:rFonts w:ascii="Times New Roman" w:hAnsi="Times New Roman" w:cs="Times New Roman"/>
          <w:sz w:val="24"/>
          <w:szCs w:val="24"/>
        </w:rPr>
        <w:t>the literacy test</w:t>
      </w:r>
      <w:r w:rsidR="00EB2B53">
        <w:rPr>
          <w:rFonts w:ascii="Times New Roman" w:hAnsi="Times New Roman" w:cs="Times New Roman"/>
          <w:sz w:val="24"/>
          <w:szCs w:val="24"/>
        </w:rPr>
        <w:t>s</w:t>
      </w:r>
      <w:r w:rsidR="007560A6">
        <w:rPr>
          <w:rFonts w:ascii="Times New Roman" w:hAnsi="Times New Roman" w:cs="Times New Roman"/>
          <w:sz w:val="24"/>
          <w:szCs w:val="24"/>
        </w:rPr>
        <w:t xml:space="preserve"> </w:t>
      </w:r>
      <w:r w:rsidR="00EB2B53">
        <w:rPr>
          <w:rFonts w:ascii="Times New Roman" w:hAnsi="Times New Roman" w:cs="Times New Roman"/>
          <w:sz w:val="24"/>
          <w:szCs w:val="24"/>
        </w:rPr>
        <w:t>were</w:t>
      </w:r>
      <w:r w:rsidR="007560A6">
        <w:rPr>
          <w:rFonts w:ascii="Times New Roman" w:hAnsi="Times New Roman" w:cs="Times New Roman"/>
          <w:sz w:val="24"/>
          <w:szCs w:val="24"/>
        </w:rPr>
        <w:t xml:space="preserve"> not equally applied- since much of the specific requirements were left to </w:t>
      </w:r>
      <w:r w:rsidR="00EB2B53">
        <w:rPr>
          <w:rFonts w:ascii="Times New Roman" w:hAnsi="Times New Roman" w:cs="Times New Roman"/>
          <w:sz w:val="24"/>
          <w:szCs w:val="24"/>
        </w:rPr>
        <w:t xml:space="preserve">the registration officer, such as what passage(s) the </w:t>
      </w:r>
      <w:r w:rsidR="00D7105F">
        <w:rPr>
          <w:rFonts w:ascii="Times New Roman" w:hAnsi="Times New Roman" w:cs="Times New Roman"/>
          <w:sz w:val="24"/>
          <w:szCs w:val="24"/>
        </w:rPr>
        <w:t>registrant</w:t>
      </w:r>
      <w:r w:rsidR="00EB2B53">
        <w:rPr>
          <w:rFonts w:ascii="Times New Roman" w:hAnsi="Times New Roman" w:cs="Times New Roman"/>
          <w:sz w:val="24"/>
          <w:szCs w:val="24"/>
        </w:rPr>
        <w:t xml:space="preserve"> had to read or write, white registration officers typically gave white registrants much more lenient passages than black registrants.</w:t>
      </w:r>
      <w:r w:rsidR="00D7105F">
        <w:rPr>
          <w:rFonts w:ascii="Times New Roman" w:hAnsi="Times New Roman" w:cs="Times New Roman"/>
          <w:sz w:val="24"/>
          <w:szCs w:val="24"/>
        </w:rPr>
        <w:t xml:space="preserve"> Whites were often required to read passages little more difficult than nursery rhymes while blacks were expected to read and interpret Shakespeare.</w:t>
      </w:r>
      <w:r w:rsidR="00EB2B53">
        <w:rPr>
          <w:rFonts w:ascii="Times New Roman" w:hAnsi="Times New Roman" w:cs="Times New Roman"/>
          <w:sz w:val="24"/>
          <w:szCs w:val="24"/>
        </w:rPr>
        <w:t xml:space="preserve"> </w:t>
      </w:r>
      <w:r w:rsidR="00D7105F">
        <w:rPr>
          <w:rFonts w:ascii="Times New Roman" w:hAnsi="Times New Roman" w:cs="Times New Roman"/>
          <w:sz w:val="24"/>
          <w:szCs w:val="24"/>
        </w:rPr>
        <w:t xml:space="preserve">The poll tax, while administered fairly, did have a disparate impact on potential black voters, as blacks made up a larger share of the South’s poor than whites did. </w:t>
      </w:r>
      <w:r w:rsidR="00EB2B53">
        <w:rPr>
          <w:rFonts w:ascii="Times New Roman" w:hAnsi="Times New Roman" w:cs="Times New Roman"/>
          <w:sz w:val="24"/>
          <w:szCs w:val="24"/>
        </w:rPr>
        <w:t xml:space="preserve">By 1908, </w:t>
      </w:r>
      <w:r w:rsidR="00E40E44">
        <w:rPr>
          <w:rFonts w:ascii="Times New Roman" w:hAnsi="Times New Roman" w:cs="Times New Roman"/>
          <w:sz w:val="24"/>
          <w:szCs w:val="24"/>
        </w:rPr>
        <w:t>literacy tests and poll taxes</w:t>
      </w:r>
      <w:r w:rsidR="00EB2B53">
        <w:rPr>
          <w:rFonts w:ascii="Times New Roman" w:hAnsi="Times New Roman" w:cs="Times New Roman"/>
          <w:sz w:val="24"/>
          <w:szCs w:val="24"/>
        </w:rPr>
        <w:t xml:space="preserve"> had been adopted universally across the American South, disenfranchising anywhere from 66% to over 95% of eligible blacks, depending on the state (</w:t>
      </w:r>
      <w:r w:rsidR="00D7105F">
        <w:rPr>
          <w:rFonts w:ascii="Times New Roman" w:hAnsi="Times New Roman" w:cs="Times New Roman"/>
          <w:sz w:val="24"/>
          <w:szCs w:val="24"/>
        </w:rPr>
        <w:t>Bullock et al.</w:t>
      </w:r>
      <w:r w:rsidR="00EB2B53">
        <w:rPr>
          <w:rFonts w:ascii="Times New Roman" w:hAnsi="Times New Roman" w:cs="Times New Roman"/>
          <w:sz w:val="24"/>
          <w:szCs w:val="24"/>
        </w:rPr>
        <w:t xml:space="preserve"> 7)</w:t>
      </w:r>
      <w:r w:rsidR="00D7105F">
        <w:rPr>
          <w:rFonts w:ascii="Times New Roman" w:hAnsi="Times New Roman" w:cs="Times New Roman"/>
          <w:sz w:val="24"/>
          <w:szCs w:val="24"/>
        </w:rPr>
        <w:t>. Such disenfranchisement in the South remained the status quo until the 1960s.</w:t>
      </w:r>
    </w:p>
    <w:p w14:paraId="1CF6728D" w14:textId="77D3017B" w:rsidR="00D7105F" w:rsidRDefault="00EB2B53" w:rsidP="004910CC">
      <w:pPr>
        <w:rPr>
          <w:rFonts w:ascii="Times New Roman" w:hAnsi="Times New Roman" w:cs="Times New Roman"/>
          <w:sz w:val="24"/>
          <w:szCs w:val="24"/>
        </w:rPr>
      </w:pPr>
      <w:r>
        <w:rPr>
          <w:rFonts w:ascii="Times New Roman" w:hAnsi="Times New Roman" w:cs="Times New Roman"/>
          <w:sz w:val="24"/>
          <w:szCs w:val="24"/>
        </w:rPr>
        <w:lastRenderedPageBreak/>
        <w:tab/>
        <w:t>Women’s suffrage emerged on the state level before it was guaranteed federally. The first state</w:t>
      </w:r>
      <w:r w:rsidR="00253A7A">
        <w:rPr>
          <w:rFonts w:ascii="Times New Roman" w:hAnsi="Times New Roman" w:cs="Times New Roman"/>
          <w:sz w:val="24"/>
          <w:szCs w:val="24"/>
        </w:rPr>
        <w:t>s</w:t>
      </w:r>
      <w:r>
        <w:rPr>
          <w:rFonts w:ascii="Times New Roman" w:hAnsi="Times New Roman" w:cs="Times New Roman"/>
          <w:sz w:val="24"/>
          <w:szCs w:val="24"/>
        </w:rPr>
        <w:t xml:space="preserve"> to allow voting regardless of gender</w:t>
      </w:r>
      <w:r w:rsidR="00253A7A">
        <w:rPr>
          <w:rFonts w:ascii="Times New Roman" w:hAnsi="Times New Roman" w:cs="Times New Roman"/>
          <w:sz w:val="24"/>
          <w:szCs w:val="24"/>
        </w:rPr>
        <w:t xml:space="preserve"> were those in the West, where, like with universal male suffrage before, egalitarian sentiments ran strong. Wyoming and Utah first allowed women to vote in 1869 and 1870, respectively, while they were still territories</w:t>
      </w:r>
      <w:r w:rsidR="00D512EC">
        <w:rPr>
          <w:rFonts w:ascii="Times New Roman" w:hAnsi="Times New Roman" w:cs="Times New Roman"/>
          <w:sz w:val="24"/>
          <w:szCs w:val="24"/>
        </w:rPr>
        <w:t xml:space="preserve"> (Hewitt and Lawson 623)</w:t>
      </w:r>
      <w:r w:rsidR="00253A7A">
        <w:rPr>
          <w:rFonts w:ascii="Times New Roman" w:hAnsi="Times New Roman" w:cs="Times New Roman"/>
          <w:sz w:val="24"/>
          <w:szCs w:val="24"/>
        </w:rPr>
        <w:t>. Wyoming became the first state to universally grant women the vote in 1890, with fourteen other states following by 1918, only two of which</w:t>
      </w:r>
      <w:r w:rsidR="00507654">
        <w:rPr>
          <w:rFonts w:ascii="Times New Roman" w:hAnsi="Times New Roman" w:cs="Times New Roman"/>
          <w:sz w:val="24"/>
          <w:szCs w:val="24"/>
        </w:rPr>
        <w:t xml:space="preserve">- </w:t>
      </w:r>
      <w:r w:rsidR="00253A7A">
        <w:rPr>
          <w:rFonts w:ascii="Times New Roman" w:hAnsi="Times New Roman" w:cs="Times New Roman"/>
          <w:sz w:val="24"/>
          <w:szCs w:val="24"/>
        </w:rPr>
        <w:t>Michigan and New York</w:t>
      </w:r>
      <w:r w:rsidR="00507654">
        <w:rPr>
          <w:rFonts w:ascii="Times New Roman" w:hAnsi="Times New Roman" w:cs="Times New Roman"/>
          <w:sz w:val="24"/>
          <w:szCs w:val="24"/>
        </w:rPr>
        <w:t xml:space="preserve">- </w:t>
      </w:r>
      <w:r w:rsidR="00253A7A">
        <w:rPr>
          <w:rFonts w:ascii="Times New Roman" w:hAnsi="Times New Roman" w:cs="Times New Roman"/>
          <w:sz w:val="24"/>
          <w:szCs w:val="24"/>
        </w:rPr>
        <w:t>were east of the Mississippi River</w:t>
      </w:r>
      <w:r w:rsidR="00D512EC">
        <w:rPr>
          <w:rFonts w:ascii="Times New Roman" w:hAnsi="Times New Roman" w:cs="Times New Roman"/>
          <w:sz w:val="24"/>
          <w:szCs w:val="24"/>
        </w:rPr>
        <w:t xml:space="preserve"> (Hewitt and Lawson 623)</w:t>
      </w:r>
      <w:r w:rsidR="00253A7A">
        <w:rPr>
          <w:rFonts w:ascii="Times New Roman" w:hAnsi="Times New Roman" w:cs="Times New Roman"/>
          <w:sz w:val="24"/>
          <w:szCs w:val="24"/>
        </w:rPr>
        <w:t xml:space="preserve">. A thirteen additional states also allowed women to vote in </w:t>
      </w:r>
      <w:r w:rsidR="00D7105F">
        <w:rPr>
          <w:rFonts w:ascii="Times New Roman" w:hAnsi="Times New Roman" w:cs="Times New Roman"/>
          <w:sz w:val="24"/>
          <w:szCs w:val="24"/>
        </w:rPr>
        <w:t>a select few</w:t>
      </w:r>
      <w:r w:rsidR="00253A7A">
        <w:rPr>
          <w:rFonts w:ascii="Times New Roman" w:hAnsi="Times New Roman" w:cs="Times New Roman"/>
          <w:sz w:val="24"/>
          <w:szCs w:val="24"/>
        </w:rPr>
        <w:t xml:space="preserve"> elections by 19</w:t>
      </w:r>
      <w:r w:rsidR="00D512EC">
        <w:rPr>
          <w:rFonts w:ascii="Times New Roman" w:hAnsi="Times New Roman" w:cs="Times New Roman"/>
          <w:sz w:val="24"/>
          <w:szCs w:val="24"/>
        </w:rPr>
        <w:t>18. Of the nineteen states that did not allow women to vote in any capacity</w:t>
      </w:r>
      <w:r w:rsidR="00D7105F">
        <w:rPr>
          <w:rFonts w:ascii="Times New Roman" w:hAnsi="Times New Roman" w:cs="Times New Roman"/>
          <w:sz w:val="24"/>
          <w:szCs w:val="24"/>
        </w:rPr>
        <w:t xml:space="preserve"> in 1918</w:t>
      </w:r>
      <w:r w:rsidR="00D512EC">
        <w:rPr>
          <w:rFonts w:ascii="Times New Roman" w:hAnsi="Times New Roman" w:cs="Times New Roman"/>
          <w:sz w:val="24"/>
          <w:szCs w:val="24"/>
        </w:rPr>
        <w:t xml:space="preserve">, all but Louisiana were east of the Mississippi River (Hewitt and Lawson 623). The push for women’s suffrage culminated with the Nineteenth Amendment, ratified in 1920, which forbid restrictions on voting </w:t>
      </w:r>
      <w:r w:rsidR="00D7105F">
        <w:rPr>
          <w:rFonts w:ascii="Times New Roman" w:hAnsi="Times New Roman" w:cs="Times New Roman"/>
          <w:sz w:val="24"/>
          <w:szCs w:val="24"/>
        </w:rPr>
        <w:t>regarding</w:t>
      </w:r>
      <w:r w:rsidR="00D512EC">
        <w:rPr>
          <w:rFonts w:ascii="Times New Roman" w:hAnsi="Times New Roman" w:cs="Times New Roman"/>
          <w:sz w:val="24"/>
          <w:szCs w:val="24"/>
        </w:rPr>
        <w:t xml:space="preserve"> gender (Hewitt and Lawson 624)</w:t>
      </w:r>
      <w:r w:rsidR="00E76432">
        <w:rPr>
          <w:rFonts w:ascii="Times New Roman" w:hAnsi="Times New Roman" w:cs="Times New Roman"/>
          <w:sz w:val="24"/>
          <w:szCs w:val="24"/>
        </w:rPr>
        <w:t>.</w:t>
      </w:r>
      <w:r w:rsidR="00D512EC">
        <w:rPr>
          <w:rFonts w:ascii="Times New Roman" w:hAnsi="Times New Roman" w:cs="Times New Roman"/>
          <w:sz w:val="24"/>
          <w:szCs w:val="24"/>
        </w:rPr>
        <w:t xml:space="preserve"> Women across America thereafter maintained the same access to the ballot box as </w:t>
      </w:r>
      <w:r w:rsidR="00D7105F">
        <w:rPr>
          <w:rFonts w:ascii="Times New Roman" w:hAnsi="Times New Roman" w:cs="Times New Roman"/>
          <w:sz w:val="24"/>
          <w:szCs w:val="24"/>
        </w:rPr>
        <w:t>men did.</w:t>
      </w:r>
    </w:p>
    <w:p w14:paraId="104BBB5C" w14:textId="68423EE9" w:rsidR="00507654" w:rsidRDefault="00507654" w:rsidP="004910CC">
      <w:pPr>
        <w:rPr>
          <w:rFonts w:ascii="Times New Roman" w:hAnsi="Times New Roman" w:cs="Times New Roman"/>
          <w:sz w:val="24"/>
          <w:szCs w:val="24"/>
        </w:rPr>
      </w:pPr>
      <w:r>
        <w:rPr>
          <w:rFonts w:ascii="Times New Roman" w:hAnsi="Times New Roman" w:cs="Times New Roman"/>
          <w:sz w:val="24"/>
          <w:szCs w:val="24"/>
        </w:rPr>
        <w:tab/>
        <w:t xml:space="preserve">Throughout all the discussion of black and female suffrage, little was made about the suffrage of Native Americans. The Fourteenth Amendment rarely applied to them since </w:t>
      </w:r>
      <w:r w:rsidR="00D7105F">
        <w:rPr>
          <w:rFonts w:ascii="Times New Roman" w:hAnsi="Times New Roman" w:cs="Times New Roman"/>
          <w:sz w:val="24"/>
          <w:szCs w:val="24"/>
        </w:rPr>
        <w:t>Natives</w:t>
      </w:r>
      <w:r>
        <w:rPr>
          <w:rFonts w:ascii="Times New Roman" w:hAnsi="Times New Roman" w:cs="Times New Roman"/>
          <w:sz w:val="24"/>
          <w:szCs w:val="24"/>
        </w:rPr>
        <w:t xml:space="preserve"> born within tribes or on reservations were not considered to </w:t>
      </w:r>
      <w:r w:rsidR="00D7105F">
        <w:rPr>
          <w:rFonts w:ascii="Times New Roman" w:hAnsi="Times New Roman" w:cs="Times New Roman"/>
          <w:sz w:val="24"/>
          <w:szCs w:val="24"/>
        </w:rPr>
        <w:t>be</w:t>
      </w:r>
      <w:r>
        <w:rPr>
          <w:rFonts w:ascii="Times New Roman" w:hAnsi="Times New Roman" w:cs="Times New Roman"/>
          <w:sz w:val="24"/>
          <w:szCs w:val="24"/>
        </w:rPr>
        <w:t xml:space="preserve"> born in the United States, and therefore, did not have birthright citizenship. The first widespread push for Native American citizenship (and by extension, Native American suffrage) came with the Dawes Act of 1887. In this act, Native Americans who lived on government-allotted lots of 160 acres for twenty-five years and did not get in trouble with the law were granted American citizenship after those twenty-five years (</w:t>
      </w:r>
      <w:r w:rsidR="00D7105F">
        <w:rPr>
          <w:rFonts w:ascii="Times New Roman" w:hAnsi="Times New Roman" w:cs="Times New Roman"/>
          <w:sz w:val="24"/>
          <w:szCs w:val="24"/>
        </w:rPr>
        <w:t xml:space="preserve">Bailey and Kennedy </w:t>
      </w:r>
      <w:r>
        <w:rPr>
          <w:rFonts w:ascii="Times New Roman" w:hAnsi="Times New Roman" w:cs="Times New Roman"/>
          <w:sz w:val="24"/>
          <w:szCs w:val="24"/>
        </w:rPr>
        <w:t>594). Though the waiting period was tampered with over the next four decades</w:t>
      </w:r>
      <w:r w:rsidR="0086390F">
        <w:rPr>
          <w:rFonts w:ascii="Times New Roman" w:hAnsi="Times New Roman" w:cs="Times New Roman"/>
          <w:sz w:val="24"/>
          <w:szCs w:val="24"/>
        </w:rPr>
        <w:t>,</w:t>
      </w:r>
      <w:r>
        <w:rPr>
          <w:rFonts w:ascii="Times New Roman" w:hAnsi="Times New Roman" w:cs="Times New Roman"/>
          <w:sz w:val="24"/>
          <w:szCs w:val="24"/>
        </w:rPr>
        <w:t xml:space="preserve"> </w:t>
      </w:r>
      <w:r w:rsidR="0086390F">
        <w:rPr>
          <w:rFonts w:ascii="Times New Roman" w:hAnsi="Times New Roman" w:cs="Times New Roman"/>
          <w:sz w:val="24"/>
          <w:szCs w:val="24"/>
        </w:rPr>
        <w:t>Native Americans were given universal citizenship in 1924, regardless of tribal status or residency outside reservations</w:t>
      </w:r>
      <w:r w:rsidR="00D7105F">
        <w:rPr>
          <w:rFonts w:ascii="Times New Roman" w:hAnsi="Times New Roman" w:cs="Times New Roman"/>
          <w:sz w:val="24"/>
          <w:szCs w:val="24"/>
        </w:rPr>
        <w:t xml:space="preserve"> (Bailey and Kennedy 594)</w:t>
      </w:r>
      <w:r w:rsidR="0086390F">
        <w:rPr>
          <w:rFonts w:ascii="Times New Roman" w:hAnsi="Times New Roman" w:cs="Times New Roman"/>
          <w:sz w:val="24"/>
          <w:szCs w:val="24"/>
        </w:rPr>
        <w:t>.</w:t>
      </w:r>
    </w:p>
    <w:p w14:paraId="5EE535D1" w14:textId="40C88757" w:rsidR="0086390F" w:rsidRDefault="0086390F" w:rsidP="004910CC">
      <w:pPr>
        <w:rPr>
          <w:rFonts w:ascii="Times New Roman" w:hAnsi="Times New Roman" w:cs="Times New Roman"/>
          <w:sz w:val="24"/>
          <w:szCs w:val="24"/>
        </w:rPr>
      </w:pPr>
      <w:r>
        <w:rPr>
          <w:rFonts w:ascii="Times New Roman" w:hAnsi="Times New Roman" w:cs="Times New Roman"/>
          <w:sz w:val="24"/>
          <w:szCs w:val="24"/>
        </w:rPr>
        <w:lastRenderedPageBreak/>
        <w:tab/>
        <w:t xml:space="preserve">The major push to restore lost black voting rights came in the 1960s, most prominently via the Voting Rights Act of 1965. This act, rising out of the Civil Rights movement bringing national attention to the disenfranchisement of blacks in the South by not only </w:t>
      </w:r>
      <w:r w:rsidR="00E40E44">
        <w:rPr>
          <w:rFonts w:ascii="Times New Roman" w:hAnsi="Times New Roman" w:cs="Times New Roman"/>
          <w:sz w:val="24"/>
          <w:szCs w:val="24"/>
        </w:rPr>
        <w:t>forbidding</w:t>
      </w:r>
      <w:r>
        <w:rPr>
          <w:rFonts w:ascii="Times New Roman" w:hAnsi="Times New Roman" w:cs="Times New Roman"/>
          <w:sz w:val="24"/>
          <w:szCs w:val="24"/>
        </w:rPr>
        <w:t xml:space="preserve"> laws that discriminated in effect, but also making any changes to voting laws </w:t>
      </w:r>
      <w:r w:rsidR="0047594C">
        <w:rPr>
          <w:rFonts w:ascii="Times New Roman" w:hAnsi="Times New Roman" w:cs="Times New Roman"/>
          <w:sz w:val="24"/>
          <w:szCs w:val="24"/>
        </w:rPr>
        <w:t xml:space="preserve">of offending states </w:t>
      </w:r>
      <w:r>
        <w:rPr>
          <w:rFonts w:ascii="Times New Roman" w:hAnsi="Times New Roman" w:cs="Times New Roman"/>
          <w:sz w:val="24"/>
          <w:szCs w:val="24"/>
        </w:rPr>
        <w:t xml:space="preserve">subject to </w:t>
      </w:r>
      <w:r w:rsidR="0047594C">
        <w:rPr>
          <w:rFonts w:ascii="Times New Roman" w:hAnsi="Times New Roman" w:cs="Times New Roman"/>
          <w:sz w:val="24"/>
          <w:szCs w:val="24"/>
        </w:rPr>
        <w:t xml:space="preserve">approval from the federal government- specifically, the Department of Justice (Bullock </w:t>
      </w:r>
      <w:r w:rsidR="00D7105F">
        <w:rPr>
          <w:rFonts w:ascii="Times New Roman" w:hAnsi="Times New Roman" w:cs="Times New Roman"/>
          <w:sz w:val="24"/>
          <w:szCs w:val="24"/>
        </w:rPr>
        <w:t xml:space="preserve">et al. </w:t>
      </w:r>
      <w:r w:rsidR="0047594C">
        <w:rPr>
          <w:rFonts w:ascii="Times New Roman" w:hAnsi="Times New Roman" w:cs="Times New Roman"/>
          <w:sz w:val="24"/>
          <w:szCs w:val="24"/>
        </w:rPr>
        <w:t xml:space="preserve">19). The states subject to this “preclearance” included Alabama, Georgia, Louisiana, Mississippi, Virginia, South Carolina, and parts of North Carolina. The Voting Rights Act </w:t>
      </w:r>
      <w:r w:rsidR="00D7105F">
        <w:rPr>
          <w:rFonts w:ascii="Times New Roman" w:hAnsi="Times New Roman" w:cs="Times New Roman"/>
          <w:sz w:val="24"/>
          <w:szCs w:val="24"/>
        </w:rPr>
        <w:t xml:space="preserve">led to the registration of an additional </w:t>
      </w:r>
      <w:r w:rsidR="0047594C">
        <w:rPr>
          <w:rFonts w:ascii="Times New Roman" w:hAnsi="Times New Roman" w:cs="Times New Roman"/>
          <w:sz w:val="24"/>
          <w:szCs w:val="24"/>
        </w:rPr>
        <w:t xml:space="preserve">20% of the black voting-age population in these states by 1970, </w:t>
      </w:r>
      <w:r w:rsidR="00D7105F">
        <w:rPr>
          <w:rFonts w:ascii="Times New Roman" w:hAnsi="Times New Roman" w:cs="Times New Roman"/>
          <w:sz w:val="24"/>
          <w:szCs w:val="24"/>
        </w:rPr>
        <w:t>and</w:t>
      </w:r>
      <w:r w:rsidR="0047594C">
        <w:rPr>
          <w:rFonts w:ascii="Times New Roman" w:hAnsi="Times New Roman" w:cs="Times New Roman"/>
          <w:sz w:val="24"/>
          <w:szCs w:val="24"/>
        </w:rPr>
        <w:t xml:space="preserve"> states like Alabama and Mississippi saw the registration of an extra 40% and 60%, respectively, of their black voting-age population (</w:t>
      </w:r>
      <w:r w:rsidR="00D7105F">
        <w:rPr>
          <w:rFonts w:ascii="Times New Roman" w:hAnsi="Times New Roman" w:cs="Times New Roman"/>
          <w:sz w:val="24"/>
          <w:szCs w:val="24"/>
        </w:rPr>
        <w:t xml:space="preserve">Bullock et al. </w:t>
      </w:r>
      <w:r w:rsidR="0047594C">
        <w:rPr>
          <w:rFonts w:ascii="Times New Roman" w:hAnsi="Times New Roman" w:cs="Times New Roman"/>
          <w:sz w:val="24"/>
          <w:szCs w:val="24"/>
        </w:rPr>
        <w:t>23). Voting rights expansion did not stop with the Voting Rights Act</w:t>
      </w:r>
      <w:r w:rsidR="00245DC2">
        <w:rPr>
          <w:rFonts w:ascii="Times New Roman" w:hAnsi="Times New Roman" w:cs="Times New Roman"/>
          <w:sz w:val="24"/>
          <w:szCs w:val="24"/>
        </w:rPr>
        <w:t>:</w:t>
      </w:r>
      <w:r w:rsidR="00DD3AC6">
        <w:rPr>
          <w:rFonts w:ascii="Times New Roman" w:hAnsi="Times New Roman" w:cs="Times New Roman"/>
          <w:sz w:val="24"/>
          <w:szCs w:val="24"/>
        </w:rPr>
        <w:t xml:space="preserve"> </w:t>
      </w:r>
      <w:r w:rsidR="00245DC2">
        <w:rPr>
          <w:rFonts w:ascii="Times New Roman" w:hAnsi="Times New Roman" w:cs="Times New Roman"/>
          <w:sz w:val="24"/>
          <w:szCs w:val="24"/>
        </w:rPr>
        <w:t>The</w:t>
      </w:r>
      <w:r w:rsidR="00DD3AC6">
        <w:rPr>
          <w:rFonts w:ascii="Times New Roman" w:hAnsi="Times New Roman" w:cs="Times New Roman"/>
          <w:sz w:val="24"/>
          <w:szCs w:val="24"/>
        </w:rPr>
        <w:t xml:space="preserve"> </w:t>
      </w:r>
      <w:r w:rsidR="00245DC2">
        <w:rPr>
          <w:rFonts w:ascii="Times New Roman" w:hAnsi="Times New Roman" w:cs="Times New Roman"/>
          <w:sz w:val="24"/>
          <w:szCs w:val="24"/>
        </w:rPr>
        <w:t>Twenty</w:t>
      </w:r>
      <w:r w:rsidR="00DD3AC6">
        <w:rPr>
          <w:rFonts w:ascii="Times New Roman" w:hAnsi="Times New Roman" w:cs="Times New Roman"/>
          <w:sz w:val="24"/>
          <w:szCs w:val="24"/>
        </w:rPr>
        <w:t>-Fourth Amendment, ratified in 1</w:t>
      </w:r>
      <w:r w:rsidR="00245DC2">
        <w:rPr>
          <w:rFonts w:ascii="Times New Roman" w:hAnsi="Times New Roman" w:cs="Times New Roman"/>
          <w:sz w:val="24"/>
          <w:szCs w:val="24"/>
        </w:rPr>
        <w:t>964, forbid the poll tax in federal elections (</w:t>
      </w:r>
      <w:r w:rsidR="0013708A">
        <w:rPr>
          <w:rFonts w:ascii="Times New Roman" w:hAnsi="Times New Roman" w:cs="Times New Roman"/>
          <w:sz w:val="24"/>
          <w:szCs w:val="24"/>
        </w:rPr>
        <w:t>Bailey and Kennedy</w:t>
      </w:r>
      <w:r w:rsidR="00245DC2">
        <w:rPr>
          <w:rFonts w:ascii="Times New Roman" w:hAnsi="Times New Roman" w:cs="Times New Roman"/>
          <w:sz w:val="24"/>
          <w:szCs w:val="24"/>
        </w:rPr>
        <w:t xml:space="preserve"> 930). As a reaction to the Vietnam War, the Twenty-Sixth Amendment was passed in 1971, which lowered the voting age nationwide to 18 from 21, the standard age for </w:t>
      </w:r>
      <w:r w:rsidR="0013708A">
        <w:rPr>
          <w:rFonts w:ascii="Times New Roman" w:hAnsi="Times New Roman" w:cs="Times New Roman"/>
          <w:sz w:val="24"/>
          <w:szCs w:val="24"/>
        </w:rPr>
        <w:t>all</w:t>
      </w:r>
      <w:r w:rsidR="00245DC2">
        <w:rPr>
          <w:rFonts w:ascii="Times New Roman" w:hAnsi="Times New Roman" w:cs="Times New Roman"/>
          <w:sz w:val="24"/>
          <w:szCs w:val="24"/>
        </w:rPr>
        <w:t xml:space="preserve"> American history before that point </w:t>
      </w:r>
      <w:r w:rsidR="0013708A">
        <w:rPr>
          <w:rFonts w:ascii="Times New Roman" w:hAnsi="Times New Roman" w:cs="Times New Roman"/>
          <w:sz w:val="24"/>
          <w:szCs w:val="24"/>
        </w:rPr>
        <w:t>(Bailey and Kennedy</w:t>
      </w:r>
      <w:r w:rsidR="00245DC2">
        <w:rPr>
          <w:rFonts w:ascii="Times New Roman" w:hAnsi="Times New Roman" w:cs="Times New Roman"/>
          <w:sz w:val="24"/>
          <w:szCs w:val="24"/>
        </w:rPr>
        <w:t xml:space="preserve"> 950). Since then, no major attempts to expand or curb voting rights has been made, with the latter at least in part due to the continued renewal of the Voting Rights Act. As it stands in the United States today, nearly every American citizen, by birth or naturalization.</w:t>
      </w:r>
    </w:p>
    <w:p w14:paraId="2F20D4F6" w14:textId="19DB3869" w:rsidR="00A92E42" w:rsidRDefault="00245DC2" w:rsidP="004910CC">
      <w:pPr>
        <w:rPr>
          <w:rFonts w:ascii="Times New Roman" w:hAnsi="Times New Roman" w:cs="Times New Roman"/>
          <w:sz w:val="24"/>
          <w:szCs w:val="24"/>
        </w:rPr>
      </w:pPr>
      <w:r>
        <w:rPr>
          <w:rFonts w:ascii="Times New Roman" w:hAnsi="Times New Roman" w:cs="Times New Roman"/>
          <w:sz w:val="24"/>
          <w:szCs w:val="24"/>
        </w:rPr>
        <w:tab/>
        <w:t>Despite our country being founded</w:t>
      </w:r>
      <w:r w:rsidR="00AB766B">
        <w:rPr>
          <w:rFonts w:ascii="Times New Roman" w:hAnsi="Times New Roman" w:cs="Times New Roman"/>
          <w:sz w:val="24"/>
          <w:szCs w:val="24"/>
        </w:rPr>
        <w:t xml:space="preserve"> on the principles of egalitarianism and access to the government, the nation’s move to enfranchise all its citizens has been a two-century-long struggle. Through the blood and sweat of suffragists </w:t>
      </w:r>
      <w:r w:rsidR="00A92E42">
        <w:rPr>
          <w:rFonts w:ascii="Times New Roman" w:hAnsi="Times New Roman" w:cs="Times New Roman"/>
          <w:sz w:val="24"/>
          <w:szCs w:val="24"/>
        </w:rPr>
        <w:t xml:space="preserve">throughout </w:t>
      </w:r>
      <w:r w:rsidR="00AB766B">
        <w:rPr>
          <w:rFonts w:ascii="Times New Roman" w:hAnsi="Times New Roman" w:cs="Times New Roman"/>
          <w:sz w:val="24"/>
          <w:szCs w:val="24"/>
        </w:rPr>
        <w:t>the nation’s history, w</w:t>
      </w:r>
      <w:r w:rsidR="0013708A">
        <w:rPr>
          <w:rFonts w:ascii="Times New Roman" w:hAnsi="Times New Roman" w:cs="Times New Roman"/>
          <w:sz w:val="24"/>
          <w:szCs w:val="24"/>
        </w:rPr>
        <w:t>hat</w:t>
      </w:r>
      <w:r w:rsidR="00AB766B">
        <w:rPr>
          <w:rFonts w:ascii="Times New Roman" w:hAnsi="Times New Roman" w:cs="Times New Roman"/>
          <w:sz w:val="24"/>
          <w:szCs w:val="24"/>
        </w:rPr>
        <w:t xml:space="preserve"> started as a republic for well-off white men has evolved into a democracy for nearly all adult citizens, regardless of race or gender or income. </w:t>
      </w:r>
      <w:r w:rsidR="00B863DF">
        <w:rPr>
          <w:rFonts w:ascii="Times New Roman" w:hAnsi="Times New Roman" w:cs="Times New Roman"/>
          <w:sz w:val="24"/>
          <w:szCs w:val="24"/>
        </w:rPr>
        <w:t>T</w:t>
      </w:r>
      <w:r w:rsidR="00AB766B">
        <w:rPr>
          <w:rFonts w:ascii="Times New Roman" w:hAnsi="Times New Roman" w:cs="Times New Roman"/>
          <w:sz w:val="24"/>
          <w:szCs w:val="24"/>
        </w:rPr>
        <w:t xml:space="preserve">he only group </w:t>
      </w:r>
      <w:r w:rsidR="00B863DF">
        <w:rPr>
          <w:rFonts w:ascii="Times New Roman" w:hAnsi="Times New Roman" w:cs="Times New Roman"/>
          <w:sz w:val="24"/>
          <w:szCs w:val="24"/>
        </w:rPr>
        <w:t xml:space="preserve">of adult citizens left disfranchised today </w:t>
      </w:r>
      <w:r w:rsidR="00AB766B">
        <w:rPr>
          <w:rFonts w:ascii="Times New Roman" w:hAnsi="Times New Roman" w:cs="Times New Roman"/>
          <w:sz w:val="24"/>
          <w:szCs w:val="24"/>
        </w:rPr>
        <w:t xml:space="preserve">are convicted criminals, whom society generally agrees have forfeited most of their rights and </w:t>
      </w:r>
      <w:r w:rsidR="00AB766B">
        <w:rPr>
          <w:rFonts w:ascii="Times New Roman" w:hAnsi="Times New Roman" w:cs="Times New Roman"/>
          <w:sz w:val="24"/>
          <w:szCs w:val="24"/>
        </w:rPr>
        <w:lastRenderedPageBreak/>
        <w:t xml:space="preserve">privileges, voting among them, by committing a crime. Even </w:t>
      </w:r>
      <w:r w:rsidR="00A92E42">
        <w:rPr>
          <w:rFonts w:ascii="Times New Roman" w:hAnsi="Times New Roman" w:cs="Times New Roman"/>
          <w:sz w:val="24"/>
          <w:szCs w:val="24"/>
        </w:rPr>
        <w:t>then, many states re-enfranchise convicts upon completion of their sentences and a few even permit convicts to vote while serving their sentences. The United States revived the Roman model of republicanism to give its citizens access to the government in a way the Founders believed was necessary for a just government</w:t>
      </w:r>
      <w:r w:rsidR="00B863DF">
        <w:rPr>
          <w:rFonts w:ascii="Times New Roman" w:hAnsi="Times New Roman" w:cs="Times New Roman"/>
          <w:sz w:val="24"/>
          <w:szCs w:val="24"/>
        </w:rPr>
        <w:t>;</w:t>
      </w:r>
      <w:r w:rsidR="00A92E42">
        <w:rPr>
          <w:rFonts w:ascii="Times New Roman" w:hAnsi="Times New Roman" w:cs="Times New Roman"/>
          <w:sz w:val="24"/>
          <w:szCs w:val="24"/>
        </w:rPr>
        <w:t xml:space="preserve"> 200 years after the </w:t>
      </w:r>
      <w:r w:rsidR="00B863DF">
        <w:rPr>
          <w:rFonts w:ascii="Times New Roman" w:hAnsi="Times New Roman" w:cs="Times New Roman"/>
          <w:sz w:val="24"/>
          <w:szCs w:val="24"/>
        </w:rPr>
        <w:t>Revolution</w:t>
      </w:r>
      <w:r w:rsidR="00A92E42">
        <w:rPr>
          <w:rFonts w:ascii="Times New Roman" w:hAnsi="Times New Roman" w:cs="Times New Roman"/>
          <w:sz w:val="24"/>
          <w:szCs w:val="24"/>
        </w:rPr>
        <w:t>, the United States</w:t>
      </w:r>
      <w:r w:rsidR="00B863DF">
        <w:rPr>
          <w:rFonts w:ascii="Times New Roman" w:hAnsi="Times New Roman" w:cs="Times New Roman"/>
          <w:sz w:val="24"/>
          <w:szCs w:val="24"/>
        </w:rPr>
        <w:t xml:space="preserve"> </w:t>
      </w:r>
      <w:r w:rsidR="00A92E42">
        <w:rPr>
          <w:rFonts w:ascii="Times New Roman" w:hAnsi="Times New Roman" w:cs="Times New Roman"/>
          <w:sz w:val="24"/>
          <w:szCs w:val="24"/>
        </w:rPr>
        <w:t xml:space="preserve">finally achieved its goal of giving democratic power to all </w:t>
      </w:r>
      <w:r w:rsidR="00B863DF">
        <w:rPr>
          <w:rFonts w:ascii="Times New Roman" w:hAnsi="Times New Roman" w:cs="Times New Roman"/>
          <w:sz w:val="24"/>
          <w:szCs w:val="24"/>
        </w:rPr>
        <w:t>its</w:t>
      </w:r>
      <w:r w:rsidR="00A92E42">
        <w:rPr>
          <w:rFonts w:ascii="Times New Roman" w:hAnsi="Times New Roman" w:cs="Times New Roman"/>
          <w:sz w:val="24"/>
          <w:szCs w:val="24"/>
        </w:rPr>
        <w:t xml:space="preserve"> people, not just a few.</w:t>
      </w:r>
    </w:p>
    <w:p w14:paraId="46C3294F" w14:textId="77777777" w:rsidR="00B863DF" w:rsidRDefault="00B863DF" w:rsidP="004910CC">
      <w:pPr>
        <w:rPr>
          <w:rFonts w:ascii="Times New Roman" w:hAnsi="Times New Roman" w:cs="Times New Roman"/>
          <w:sz w:val="24"/>
          <w:szCs w:val="24"/>
        </w:rPr>
      </w:pPr>
    </w:p>
    <w:p w14:paraId="0A508159" w14:textId="0A0FD749" w:rsidR="00A92E42" w:rsidRDefault="00A92E42" w:rsidP="004910CC">
      <w:pPr>
        <w:rPr>
          <w:rFonts w:ascii="Times New Roman" w:hAnsi="Times New Roman" w:cs="Times New Roman"/>
          <w:sz w:val="24"/>
          <w:szCs w:val="24"/>
        </w:rPr>
      </w:pPr>
    </w:p>
    <w:p w14:paraId="1CC2B568" w14:textId="74B61EDC" w:rsidR="0013708A" w:rsidRDefault="0013708A" w:rsidP="004910CC">
      <w:pPr>
        <w:rPr>
          <w:rFonts w:ascii="Times New Roman" w:hAnsi="Times New Roman" w:cs="Times New Roman"/>
          <w:sz w:val="24"/>
          <w:szCs w:val="24"/>
        </w:rPr>
      </w:pPr>
    </w:p>
    <w:p w14:paraId="09CAD416" w14:textId="453714B4" w:rsidR="0013708A" w:rsidRDefault="0013708A" w:rsidP="004910CC">
      <w:pPr>
        <w:rPr>
          <w:rFonts w:ascii="Times New Roman" w:hAnsi="Times New Roman" w:cs="Times New Roman"/>
          <w:sz w:val="24"/>
          <w:szCs w:val="24"/>
        </w:rPr>
      </w:pPr>
    </w:p>
    <w:p w14:paraId="6D220685" w14:textId="4D6100F2" w:rsidR="0013708A" w:rsidRDefault="0013708A" w:rsidP="004910CC">
      <w:pPr>
        <w:rPr>
          <w:rFonts w:ascii="Times New Roman" w:hAnsi="Times New Roman" w:cs="Times New Roman"/>
          <w:sz w:val="24"/>
          <w:szCs w:val="24"/>
        </w:rPr>
      </w:pPr>
    </w:p>
    <w:p w14:paraId="1D6E1BA8" w14:textId="2427CA69" w:rsidR="0013708A" w:rsidRDefault="0013708A" w:rsidP="004910CC">
      <w:pPr>
        <w:rPr>
          <w:rFonts w:ascii="Times New Roman" w:hAnsi="Times New Roman" w:cs="Times New Roman"/>
          <w:sz w:val="24"/>
          <w:szCs w:val="24"/>
        </w:rPr>
      </w:pPr>
    </w:p>
    <w:p w14:paraId="258CD179" w14:textId="264CD2B2" w:rsidR="0013708A" w:rsidRDefault="0013708A" w:rsidP="004910CC">
      <w:pPr>
        <w:rPr>
          <w:rFonts w:ascii="Times New Roman" w:hAnsi="Times New Roman" w:cs="Times New Roman"/>
          <w:sz w:val="24"/>
          <w:szCs w:val="24"/>
        </w:rPr>
      </w:pPr>
    </w:p>
    <w:p w14:paraId="6C3BB1EE" w14:textId="4925EB4D" w:rsidR="0013708A" w:rsidRDefault="0013708A" w:rsidP="004910CC">
      <w:pPr>
        <w:rPr>
          <w:rFonts w:ascii="Times New Roman" w:hAnsi="Times New Roman" w:cs="Times New Roman"/>
          <w:sz w:val="24"/>
          <w:szCs w:val="24"/>
        </w:rPr>
      </w:pPr>
    </w:p>
    <w:p w14:paraId="4EC0BBEB" w14:textId="52F60322" w:rsidR="0013708A" w:rsidRDefault="0013708A" w:rsidP="004910CC">
      <w:pPr>
        <w:rPr>
          <w:rFonts w:ascii="Times New Roman" w:hAnsi="Times New Roman" w:cs="Times New Roman"/>
          <w:sz w:val="24"/>
          <w:szCs w:val="24"/>
        </w:rPr>
      </w:pPr>
    </w:p>
    <w:p w14:paraId="42E3043F" w14:textId="1A26B703" w:rsidR="0013708A" w:rsidRDefault="0013708A" w:rsidP="004910CC">
      <w:pPr>
        <w:rPr>
          <w:rFonts w:ascii="Times New Roman" w:hAnsi="Times New Roman" w:cs="Times New Roman"/>
          <w:sz w:val="24"/>
          <w:szCs w:val="24"/>
        </w:rPr>
      </w:pPr>
    </w:p>
    <w:p w14:paraId="5A47A490" w14:textId="0981042E" w:rsidR="0013708A" w:rsidRDefault="0013708A" w:rsidP="004910CC">
      <w:pPr>
        <w:rPr>
          <w:rFonts w:ascii="Times New Roman" w:hAnsi="Times New Roman" w:cs="Times New Roman"/>
          <w:sz w:val="24"/>
          <w:szCs w:val="24"/>
        </w:rPr>
      </w:pPr>
    </w:p>
    <w:p w14:paraId="358A0059" w14:textId="0A3C338C" w:rsidR="0013708A" w:rsidRDefault="0013708A" w:rsidP="004910CC">
      <w:pPr>
        <w:rPr>
          <w:rFonts w:ascii="Times New Roman" w:hAnsi="Times New Roman" w:cs="Times New Roman"/>
          <w:sz w:val="24"/>
          <w:szCs w:val="24"/>
        </w:rPr>
      </w:pPr>
    </w:p>
    <w:p w14:paraId="67AAA595" w14:textId="77777777" w:rsidR="0013708A" w:rsidRDefault="0013708A" w:rsidP="004910CC">
      <w:pPr>
        <w:rPr>
          <w:rFonts w:ascii="Times New Roman" w:hAnsi="Times New Roman" w:cs="Times New Roman"/>
          <w:sz w:val="24"/>
          <w:szCs w:val="24"/>
        </w:rPr>
      </w:pPr>
    </w:p>
    <w:p w14:paraId="17E52AD3" w14:textId="512A1934" w:rsidR="00A92E42" w:rsidRPr="00821F7B" w:rsidRDefault="00A92E42" w:rsidP="00A92E42">
      <w:pPr>
        <w:jc w:val="center"/>
        <w:rPr>
          <w:rFonts w:ascii="Times New Roman" w:hAnsi="Times New Roman" w:cs="Times New Roman"/>
          <w:b/>
          <w:sz w:val="24"/>
          <w:szCs w:val="24"/>
          <w:u w:val="single"/>
        </w:rPr>
      </w:pPr>
      <w:r w:rsidRPr="00821F7B">
        <w:rPr>
          <w:rFonts w:ascii="Times New Roman" w:hAnsi="Times New Roman" w:cs="Times New Roman"/>
          <w:b/>
          <w:sz w:val="24"/>
          <w:szCs w:val="24"/>
          <w:u w:val="single"/>
        </w:rPr>
        <w:lastRenderedPageBreak/>
        <w:t>Appendix:</w:t>
      </w:r>
    </w:p>
    <w:p w14:paraId="5715B469" w14:textId="7615EF2C" w:rsidR="00A92E42" w:rsidRDefault="00A92E42" w:rsidP="00A92E42">
      <w:pPr>
        <w:rPr>
          <w:rFonts w:ascii="Times New Roman" w:hAnsi="Times New Roman" w:cs="Times New Roman"/>
          <w:sz w:val="24"/>
          <w:szCs w:val="24"/>
        </w:rPr>
      </w:pPr>
      <w:r>
        <w:rPr>
          <w:rFonts w:ascii="Times New Roman" w:hAnsi="Times New Roman" w:cs="Times New Roman"/>
          <w:sz w:val="24"/>
          <w:szCs w:val="24"/>
        </w:rPr>
        <w:tab/>
        <w:t xml:space="preserve">The following is a series of charts meant to better illustrate the major changes that occurred in voting rights. While there were exceptions to each of these rules, as mentioned above, these are based on how they affected most Americans in that category. For the purposes of these charts, “Immigrant” is meant to broadly include naturalized immigrants from Europe, Asia, Latin America, and miscellaneous other areas that would not easily fall into the other categories. </w:t>
      </w:r>
      <w:r w:rsidRPr="00B863DF">
        <w:rPr>
          <w:rFonts w:ascii="Times New Roman" w:hAnsi="Times New Roman" w:cs="Times New Roman"/>
          <w:sz w:val="24"/>
          <w:szCs w:val="24"/>
          <w:highlight w:val="green"/>
        </w:rPr>
        <w:t>Green cells</w:t>
      </w:r>
      <w:r>
        <w:rPr>
          <w:rFonts w:ascii="Times New Roman" w:hAnsi="Times New Roman" w:cs="Times New Roman"/>
          <w:sz w:val="24"/>
          <w:szCs w:val="24"/>
        </w:rPr>
        <w:t xml:space="preserve"> represent enfranchisement for that group; </w:t>
      </w:r>
      <w:r w:rsidRPr="00B863DF">
        <w:rPr>
          <w:rFonts w:ascii="Times New Roman" w:hAnsi="Times New Roman" w:cs="Times New Roman"/>
          <w:sz w:val="24"/>
          <w:szCs w:val="24"/>
          <w:highlight w:val="red"/>
        </w:rPr>
        <w:t>red cells</w:t>
      </w:r>
      <w:r>
        <w:rPr>
          <w:rFonts w:ascii="Times New Roman" w:hAnsi="Times New Roman" w:cs="Times New Roman"/>
          <w:sz w:val="24"/>
          <w:szCs w:val="24"/>
        </w:rPr>
        <w:t xml:space="preserve"> represent disenfranchisement. </w:t>
      </w:r>
      <w:r w:rsidR="00EB0F83" w:rsidRPr="00B863DF">
        <w:rPr>
          <w:rFonts w:ascii="Times New Roman" w:hAnsi="Times New Roman" w:cs="Times New Roman"/>
          <w:sz w:val="24"/>
          <w:szCs w:val="24"/>
          <w:highlight w:val="cyan"/>
        </w:rPr>
        <w:t>Blue cells</w:t>
      </w:r>
      <w:r w:rsidR="00EB0F83">
        <w:rPr>
          <w:rFonts w:ascii="Times New Roman" w:hAnsi="Times New Roman" w:cs="Times New Roman"/>
          <w:sz w:val="24"/>
          <w:szCs w:val="24"/>
        </w:rPr>
        <w:t xml:space="preserve"> indicate the enfranchisement of </w:t>
      </w:r>
      <w:r w:rsidR="00B863DF">
        <w:rPr>
          <w:rFonts w:ascii="Times New Roman" w:hAnsi="Times New Roman" w:cs="Times New Roman"/>
          <w:sz w:val="24"/>
          <w:szCs w:val="24"/>
        </w:rPr>
        <w:t xml:space="preserve">the specified </w:t>
      </w:r>
      <w:r w:rsidR="00EB0F83">
        <w:rPr>
          <w:rFonts w:ascii="Times New Roman" w:hAnsi="Times New Roman" w:cs="Times New Roman"/>
          <w:sz w:val="24"/>
          <w:szCs w:val="24"/>
        </w:rPr>
        <w:t xml:space="preserve">group due to the stated event, compared to the previous chart. </w:t>
      </w:r>
      <w:r w:rsidR="00B863DF">
        <w:rPr>
          <w:rFonts w:ascii="Times New Roman" w:hAnsi="Times New Roman" w:cs="Times New Roman"/>
          <w:sz w:val="24"/>
          <w:szCs w:val="24"/>
          <w:highlight w:val="yellow"/>
        </w:rPr>
        <w:t xml:space="preserve">Yellow </w:t>
      </w:r>
      <w:r w:rsidR="00EB0F83" w:rsidRPr="00B863DF">
        <w:rPr>
          <w:rFonts w:ascii="Times New Roman" w:hAnsi="Times New Roman" w:cs="Times New Roman"/>
          <w:sz w:val="24"/>
          <w:szCs w:val="24"/>
          <w:highlight w:val="yellow"/>
        </w:rPr>
        <w:t>cells</w:t>
      </w:r>
      <w:r w:rsidR="00EB0F83">
        <w:rPr>
          <w:rFonts w:ascii="Times New Roman" w:hAnsi="Times New Roman" w:cs="Times New Roman"/>
          <w:sz w:val="24"/>
          <w:szCs w:val="24"/>
        </w:rPr>
        <w:t xml:space="preserve"> indicate disenfranchisement for that group due to the state</w:t>
      </w:r>
      <w:r w:rsidR="00B863DF">
        <w:rPr>
          <w:rFonts w:ascii="Times New Roman" w:hAnsi="Times New Roman" w:cs="Times New Roman"/>
          <w:sz w:val="24"/>
          <w:szCs w:val="24"/>
        </w:rPr>
        <w:t>d</w:t>
      </w:r>
      <w:r w:rsidR="00EB0F83">
        <w:rPr>
          <w:rFonts w:ascii="Times New Roman" w:hAnsi="Times New Roman" w:cs="Times New Roman"/>
          <w:sz w:val="24"/>
          <w:szCs w:val="24"/>
        </w:rPr>
        <w:t xml:space="preserve"> event, relative to the previous chart.</w:t>
      </w:r>
    </w:p>
    <w:p w14:paraId="22453335" w14:textId="5DE0BE8F" w:rsidR="00EB0F83" w:rsidRPr="00697ED5" w:rsidRDefault="00697ED5" w:rsidP="00697ED5">
      <w:pPr>
        <w:jc w:val="center"/>
        <w:rPr>
          <w:rFonts w:ascii="Times New Roman" w:hAnsi="Times New Roman" w:cs="Times New Roman"/>
          <w:sz w:val="24"/>
          <w:szCs w:val="24"/>
          <w:u w:val="single"/>
        </w:rPr>
      </w:pPr>
      <w:r w:rsidRPr="00697ED5">
        <w:rPr>
          <w:rFonts w:ascii="Times New Roman" w:hAnsi="Times New Roman" w:cs="Times New Roman"/>
          <w:b/>
          <w:sz w:val="24"/>
          <w:szCs w:val="24"/>
          <w:u w:val="single"/>
        </w:rPr>
        <w:t>Table 1: 1789- Property Requirements</w:t>
      </w:r>
    </w:p>
    <w:tbl>
      <w:tblPr>
        <w:tblW w:w="9450" w:type="dxa"/>
        <w:jc w:val="center"/>
        <w:tblLook w:val="04A0" w:firstRow="1" w:lastRow="0" w:firstColumn="1" w:lastColumn="0" w:noHBand="0" w:noVBand="1"/>
      </w:tblPr>
      <w:tblGrid>
        <w:gridCol w:w="2520"/>
        <w:gridCol w:w="1160"/>
        <w:gridCol w:w="1160"/>
        <w:gridCol w:w="1160"/>
        <w:gridCol w:w="1160"/>
        <w:gridCol w:w="1160"/>
        <w:gridCol w:w="1130"/>
      </w:tblGrid>
      <w:tr w:rsidR="00697ED5" w:rsidRPr="00697ED5" w14:paraId="0BBD2DB0" w14:textId="77777777" w:rsidTr="00821F7B">
        <w:trPr>
          <w:trHeight w:val="70"/>
          <w:jc w:val="center"/>
        </w:trPr>
        <w:tc>
          <w:tcPr>
            <w:tcW w:w="252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0C7A1398"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Race/Sex</w:t>
            </w:r>
          </w:p>
        </w:tc>
        <w:tc>
          <w:tcPr>
            <w:tcW w:w="116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424E5F4C"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Rich</w:t>
            </w:r>
          </w:p>
        </w:tc>
        <w:tc>
          <w:tcPr>
            <w:tcW w:w="116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53AABF79"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Poor</w:t>
            </w:r>
          </w:p>
        </w:tc>
        <w:tc>
          <w:tcPr>
            <w:tcW w:w="116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58806F21"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North</w:t>
            </w:r>
          </w:p>
        </w:tc>
        <w:tc>
          <w:tcPr>
            <w:tcW w:w="116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52342D96"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South</w:t>
            </w:r>
          </w:p>
        </w:tc>
        <w:tc>
          <w:tcPr>
            <w:tcW w:w="116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36C5C336"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Age 21+</w:t>
            </w:r>
          </w:p>
        </w:tc>
        <w:tc>
          <w:tcPr>
            <w:tcW w:w="113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5BDEC1C9"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Age 18-20</w:t>
            </w:r>
          </w:p>
        </w:tc>
      </w:tr>
      <w:tr w:rsidR="00697ED5" w:rsidRPr="00697ED5" w14:paraId="23AEDA67" w14:textId="77777777" w:rsidTr="00821F7B">
        <w:trPr>
          <w:trHeight w:val="60"/>
          <w:jc w:val="center"/>
        </w:trPr>
        <w:tc>
          <w:tcPr>
            <w:tcW w:w="2520"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738E8177"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White Male</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D09ABD7"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712297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4ECD1285"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2C4C47D1"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056BEC0E"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84B815F"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4BD8D559" w14:textId="77777777" w:rsidTr="00821F7B">
        <w:trPr>
          <w:trHeight w:val="70"/>
          <w:jc w:val="center"/>
        </w:trPr>
        <w:tc>
          <w:tcPr>
            <w:tcW w:w="252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05FD6070"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White Female</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46952F2"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79FF8D6"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F1A0B4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5304F7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965F899"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7FEFA6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72D701B9" w14:textId="77777777" w:rsidTr="00821F7B">
        <w:trPr>
          <w:trHeight w:val="70"/>
          <w:jc w:val="center"/>
        </w:trPr>
        <w:tc>
          <w:tcPr>
            <w:tcW w:w="2520"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587D9D4F" w14:textId="0BC64365"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Black Male</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608C1B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8FC06B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79A324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188D18B"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8DBC16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197424B"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310DCEDD" w14:textId="77777777" w:rsidTr="00821F7B">
        <w:trPr>
          <w:trHeight w:val="70"/>
          <w:jc w:val="center"/>
        </w:trPr>
        <w:tc>
          <w:tcPr>
            <w:tcW w:w="252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D6A052D"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Black Female</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75569A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2C26756"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7030EE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B5FAAC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0268B1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1B327E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26F23851" w14:textId="77777777" w:rsidTr="00821F7B">
        <w:trPr>
          <w:trHeight w:val="98"/>
          <w:jc w:val="center"/>
        </w:trPr>
        <w:tc>
          <w:tcPr>
            <w:tcW w:w="2520"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79C5BA44"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Native American Male</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187B592"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E4D670C"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A771C5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687EFEF"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80C56A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C6417C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6EC17940" w14:textId="77777777" w:rsidTr="00821F7B">
        <w:trPr>
          <w:trHeight w:val="70"/>
          <w:jc w:val="center"/>
        </w:trPr>
        <w:tc>
          <w:tcPr>
            <w:tcW w:w="252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5674648"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Native American Female</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5FFFD3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8A2F92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F3C5D5F"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9D7056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8F78FB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C525CD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479ADF89" w14:textId="77777777" w:rsidTr="00821F7B">
        <w:trPr>
          <w:trHeight w:val="80"/>
          <w:jc w:val="center"/>
        </w:trPr>
        <w:tc>
          <w:tcPr>
            <w:tcW w:w="2520"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0F558CD5"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Immigrant Male</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0086F2A"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E9D896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CAD2AE1"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5A52DA3F"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6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78B7AEE"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CF7C05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1D33BFCB" w14:textId="77777777" w:rsidTr="00821F7B">
        <w:trPr>
          <w:trHeight w:val="70"/>
          <w:jc w:val="center"/>
        </w:trPr>
        <w:tc>
          <w:tcPr>
            <w:tcW w:w="252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1B7E7672"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Immigrant Female</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D92A790"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E332956"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BC5A2E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8076FE2"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05BDD3B"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F43201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bl>
    <w:p w14:paraId="0F1FFABC" w14:textId="1A78A01B" w:rsidR="00821F7B" w:rsidRDefault="00821F7B" w:rsidP="00821F7B">
      <w:pPr>
        <w:rPr>
          <w:rFonts w:ascii="Times New Roman" w:hAnsi="Times New Roman" w:cs="Times New Roman"/>
          <w:b/>
          <w:sz w:val="24"/>
          <w:szCs w:val="24"/>
          <w:u w:val="single"/>
        </w:rPr>
      </w:pPr>
    </w:p>
    <w:p w14:paraId="20A2E67B" w14:textId="2470B8C7" w:rsidR="00821F7B" w:rsidRDefault="00821F7B" w:rsidP="00821F7B">
      <w:pPr>
        <w:rPr>
          <w:rFonts w:ascii="Times New Roman" w:hAnsi="Times New Roman" w:cs="Times New Roman"/>
          <w:b/>
          <w:sz w:val="24"/>
          <w:szCs w:val="24"/>
          <w:u w:val="single"/>
        </w:rPr>
      </w:pPr>
    </w:p>
    <w:p w14:paraId="136D77B2" w14:textId="6995B37D" w:rsidR="00821F7B" w:rsidRDefault="00821F7B" w:rsidP="00821F7B">
      <w:pPr>
        <w:rPr>
          <w:rFonts w:ascii="Times New Roman" w:hAnsi="Times New Roman" w:cs="Times New Roman"/>
          <w:b/>
          <w:sz w:val="24"/>
          <w:szCs w:val="24"/>
          <w:u w:val="single"/>
        </w:rPr>
      </w:pPr>
    </w:p>
    <w:p w14:paraId="2F13BBB8" w14:textId="23155E9B" w:rsidR="00821F7B" w:rsidRDefault="00821F7B" w:rsidP="00821F7B">
      <w:pPr>
        <w:rPr>
          <w:rFonts w:ascii="Times New Roman" w:hAnsi="Times New Roman" w:cs="Times New Roman"/>
          <w:b/>
          <w:sz w:val="24"/>
          <w:szCs w:val="24"/>
          <w:u w:val="single"/>
        </w:rPr>
      </w:pPr>
    </w:p>
    <w:p w14:paraId="05DB3535" w14:textId="4594DE03" w:rsidR="00821F7B" w:rsidRDefault="00821F7B" w:rsidP="00821F7B">
      <w:pPr>
        <w:rPr>
          <w:rFonts w:ascii="Times New Roman" w:hAnsi="Times New Roman" w:cs="Times New Roman"/>
          <w:b/>
          <w:sz w:val="24"/>
          <w:szCs w:val="24"/>
          <w:u w:val="single"/>
        </w:rPr>
      </w:pPr>
    </w:p>
    <w:p w14:paraId="7B15F5EC" w14:textId="77777777" w:rsidR="00821F7B" w:rsidRDefault="00821F7B" w:rsidP="00821F7B">
      <w:pPr>
        <w:rPr>
          <w:rFonts w:ascii="Times New Roman" w:hAnsi="Times New Roman" w:cs="Times New Roman"/>
          <w:b/>
          <w:sz w:val="24"/>
          <w:szCs w:val="24"/>
          <w:u w:val="single"/>
        </w:rPr>
      </w:pPr>
    </w:p>
    <w:p w14:paraId="28D2D311" w14:textId="0F88D354" w:rsidR="00697ED5" w:rsidRDefault="00697ED5" w:rsidP="00697ED5">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Table 2: 1828- The New Democracy</w:t>
      </w:r>
    </w:p>
    <w:tbl>
      <w:tblPr>
        <w:tblW w:w="8995" w:type="dxa"/>
        <w:jc w:val="center"/>
        <w:tblLook w:val="04A0" w:firstRow="1" w:lastRow="0" w:firstColumn="1" w:lastColumn="0" w:noHBand="0" w:noVBand="1"/>
      </w:tblPr>
      <w:tblGrid>
        <w:gridCol w:w="2779"/>
        <w:gridCol w:w="924"/>
        <w:gridCol w:w="929"/>
        <w:gridCol w:w="939"/>
        <w:gridCol w:w="939"/>
        <w:gridCol w:w="1135"/>
        <w:gridCol w:w="1350"/>
      </w:tblGrid>
      <w:tr w:rsidR="00697ED5" w:rsidRPr="00697ED5" w14:paraId="4C76472B" w14:textId="77777777" w:rsidTr="00821F7B">
        <w:trPr>
          <w:trHeight w:val="70"/>
          <w:jc w:val="center"/>
        </w:trPr>
        <w:tc>
          <w:tcPr>
            <w:tcW w:w="277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759D3B88"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Race/Sex</w:t>
            </w:r>
          </w:p>
        </w:tc>
        <w:tc>
          <w:tcPr>
            <w:tcW w:w="924"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2C01BF87"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Rich</w:t>
            </w:r>
          </w:p>
        </w:tc>
        <w:tc>
          <w:tcPr>
            <w:tcW w:w="92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5A1D5FE7"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Poor</w:t>
            </w:r>
          </w:p>
        </w:tc>
        <w:tc>
          <w:tcPr>
            <w:tcW w:w="93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33F51429"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North</w:t>
            </w:r>
          </w:p>
        </w:tc>
        <w:tc>
          <w:tcPr>
            <w:tcW w:w="93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5C132A4E"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South</w:t>
            </w:r>
          </w:p>
        </w:tc>
        <w:tc>
          <w:tcPr>
            <w:tcW w:w="1135"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664AE220"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Age 21+</w:t>
            </w:r>
          </w:p>
        </w:tc>
        <w:tc>
          <w:tcPr>
            <w:tcW w:w="135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61D1E620"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Age 18-20</w:t>
            </w:r>
          </w:p>
        </w:tc>
      </w:tr>
      <w:tr w:rsidR="00697ED5" w:rsidRPr="00697ED5" w14:paraId="149C9F19" w14:textId="77777777" w:rsidTr="00697ED5">
        <w:trPr>
          <w:trHeight w:val="97"/>
          <w:jc w:val="center"/>
        </w:trPr>
        <w:tc>
          <w:tcPr>
            <w:tcW w:w="2779"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70952BE3"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White Male</w:t>
            </w:r>
          </w:p>
        </w:tc>
        <w:tc>
          <w:tcPr>
            <w:tcW w:w="924"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25C1998E"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0F2C9A41"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D2675E6"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0785BA92"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35"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053277D"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11EC5F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7D06FE4F" w14:textId="77777777" w:rsidTr="00697ED5">
        <w:trPr>
          <w:trHeight w:val="70"/>
          <w:jc w:val="center"/>
        </w:trPr>
        <w:tc>
          <w:tcPr>
            <w:tcW w:w="2779"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57902ED0"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White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160D7C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B422F1B"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515DB6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28FBC6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F3C03D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C6C97C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494004B6" w14:textId="77777777" w:rsidTr="00697ED5">
        <w:trPr>
          <w:trHeight w:val="70"/>
          <w:jc w:val="center"/>
        </w:trPr>
        <w:tc>
          <w:tcPr>
            <w:tcW w:w="2779"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1057212D"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Black Male</w:t>
            </w:r>
          </w:p>
        </w:tc>
        <w:tc>
          <w:tcPr>
            <w:tcW w:w="924"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79A07437"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B975D0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18D81FD2"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6498C10"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5"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3E8F144F"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Y</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20AF40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2717F49A" w14:textId="77777777" w:rsidTr="00697ED5">
        <w:trPr>
          <w:trHeight w:val="260"/>
          <w:jc w:val="center"/>
        </w:trPr>
        <w:tc>
          <w:tcPr>
            <w:tcW w:w="2779"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80189FE"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Black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E17A0E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B8395C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215DC6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BB5C8A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7DF184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4B2B6B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027AA783" w14:textId="77777777" w:rsidTr="00697ED5">
        <w:trPr>
          <w:trHeight w:val="70"/>
          <w:jc w:val="center"/>
        </w:trPr>
        <w:tc>
          <w:tcPr>
            <w:tcW w:w="2779"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5D0F9049"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Native American 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91F204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A2622E0"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414D879"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EC15F6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B764DF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49991C9"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194DF8E3" w14:textId="77777777" w:rsidTr="00697ED5">
        <w:trPr>
          <w:trHeight w:val="70"/>
          <w:jc w:val="center"/>
        </w:trPr>
        <w:tc>
          <w:tcPr>
            <w:tcW w:w="2779"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678F7C0"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Native American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9C54C3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109545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DF635B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977CE0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428B7D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9219B4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5F697C75" w14:textId="77777777" w:rsidTr="00697ED5">
        <w:trPr>
          <w:trHeight w:val="70"/>
          <w:jc w:val="center"/>
        </w:trPr>
        <w:tc>
          <w:tcPr>
            <w:tcW w:w="2779"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5F51E212"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Immigrant Male</w:t>
            </w:r>
          </w:p>
        </w:tc>
        <w:tc>
          <w:tcPr>
            <w:tcW w:w="924"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35AC2ED"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2BF4D7A3"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B016460"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2F74A0C0"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135"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2847B28E"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199AC0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5314F89B" w14:textId="77777777" w:rsidTr="00697ED5">
        <w:trPr>
          <w:trHeight w:val="70"/>
          <w:jc w:val="center"/>
        </w:trPr>
        <w:tc>
          <w:tcPr>
            <w:tcW w:w="2779"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6CD86E44"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Immigrant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60B17C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29BBE2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BDAB2F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0115F1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13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578C9C6"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3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5E1660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bl>
    <w:p w14:paraId="5DE5E774" w14:textId="4F8FA1B9" w:rsidR="00697ED5" w:rsidRDefault="00697ED5" w:rsidP="00697ED5">
      <w:pPr>
        <w:jc w:val="center"/>
        <w:rPr>
          <w:rFonts w:ascii="Times New Roman" w:hAnsi="Times New Roman" w:cs="Times New Roman"/>
          <w:sz w:val="24"/>
          <w:szCs w:val="24"/>
        </w:rPr>
      </w:pPr>
    </w:p>
    <w:p w14:paraId="543C093A" w14:textId="732CC866" w:rsidR="00697ED5" w:rsidRDefault="00697ED5" w:rsidP="00697ED5">
      <w:pPr>
        <w:jc w:val="center"/>
        <w:rPr>
          <w:rFonts w:ascii="Times New Roman" w:hAnsi="Times New Roman" w:cs="Times New Roman"/>
          <w:sz w:val="24"/>
          <w:szCs w:val="24"/>
        </w:rPr>
      </w:pPr>
      <w:r>
        <w:rPr>
          <w:rFonts w:ascii="Times New Roman" w:hAnsi="Times New Roman" w:cs="Times New Roman"/>
          <w:b/>
          <w:sz w:val="24"/>
          <w:szCs w:val="24"/>
          <w:u w:val="single"/>
        </w:rPr>
        <w:t xml:space="preserve">Table 3: 1857- </w:t>
      </w:r>
      <w:r>
        <w:rPr>
          <w:rFonts w:ascii="Times New Roman" w:hAnsi="Times New Roman" w:cs="Times New Roman"/>
          <w:b/>
          <w:i/>
          <w:sz w:val="24"/>
          <w:szCs w:val="24"/>
          <w:u w:val="single"/>
        </w:rPr>
        <w:t>Dred Scott v. San</w:t>
      </w:r>
      <w:r w:rsidR="002E73CB">
        <w:rPr>
          <w:rFonts w:ascii="Times New Roman" w:hAnsi="Times New Roman" w:cs="Times New Roman"/>
          <w:b/>
          <w:i/>
          <w:sz w:val="24"/>
          <w:szCs w:val="24"/>
          <w:u w:val="single"/>
        </w:rPr>
        <w:t>d</w:t>
      </w:r>
      <w:r>
        <w:rPr>
          <w:rFonts w:ascii="Times New Roman" w:hAnsi="Times New Roman" w:cs="Times New Roman"/>
          <w:b/>
          <w:i/>
          <w:sz w:val="24"/>
          <w:szCs w:val="24"/>
          <w:u w:val="single"/>
        </w:rPr>
        <w:t xml:space="preserve">ford </w:t>
      </w:r>
      <w:r>
        <w:rPr>
          <w:rFonts w:ascii="Times New Roman" w:hAnsi="Times New Roman" w:cs="Times New Roman"/>
          <w:b/>
          <w:sz w:val="24"/>
          <w:szCs w:val="24"/>
          <w:u w:val="single"/>
        </w:rPr>
        <w:t>Ruling</w:t>
      </w:r>
    </w:p>
    <w:tbl>
      <w:tblPr>
        <w:tblW w:w="8545" w:type="dxa"/>
        <w:jc w:val="center"/>
        <w:tblLook w:val="04A0" w:firstRow="1" w:lastRow="0" w:firstColumn="1" w:lastColumn="0" w:noHBand="0" w:noVBand="1"/>
      </w:tblPr>
      <w:tblGrid>
        <w:gridCol w:w="2504"/>
        <w:gridCol w:w="924"/>
        <w:gridCol w:w="929"/>
        <w:gridCol w:w="939"/>
        <w:gridCol w:w="939"/>
        <w:gridCol w:w="1050"/>
        <w:gridCol w:w="1260"/>
      </w:tblGrid>
      <w:tr w:rsidR="00697ED5" w:rsidRPr="00697ED5" w14:paraId="5B273ECB" w14:textId="77777777" w:rsidTr="00821F7B">
        <w:trPr>
          <w:trHeight w:val="70"/>
          <w:jc w:val="center"/>
        </w:trPr>
        <w:tc>
          <w:tcPr>
            <w:tcW w:w="2504"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079EAADC"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Race/Sex</w:t>
            </w:r>
          </w:p>
        </w:tc>
        <w:tc>
          <w:tcPr>
            <w:tcW w:w="924"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6D0D7543"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Rich</w:t>
            </w:r>
          </w:p>
        </w:tc>
        <w:tc>
          <w:tcPr>
            <w:tcW w:w="92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38588626"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Poor</w:t>
            </w:r>
          </w:p>
        </w:tc>
        <w:tc>
          <w:tcPr>
            <w:tcW w:w="93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371F2E8E"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North</w:t>
            </w:r>
          </w:p>
        </w:tc>
        <w:tc>
          <w:tcPr>
            <w:tcW w:w="93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4249D3C1"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South</w:t>
            </w:r>
          </w:p>
        </w:tc>
        <w:tc>
          <w:tcPr>
            <w:tcW w:w="105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254D689C"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Age 21+</w:t>
            </w:r>
          </w:p>
        </w:tc>
        <w:tc>
          <w:tcPr>
            <w:tcW w:w="126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25B2E5D1" w14:textId="77777777" w:rsidR="00697ED5" w:rsidRPr="00697ED5" w:rsidRDefault="00697ED5" w:rsidP="00697ED5">
            <w:pPr>
              <w:spacing w:after="0" w:line="240" w:lineRule="auto"/>
              <w:rPr>
                <w:rFonts w:ascii="Calibri" w:eastAsia="Times New Roman" w:hAnsi="Calibri" w:cs="Calibri"/>
                <w:b/>
                <w:bCs/>
                <w:color w:val="000000"/>
              </w:rPr>
            </w:pPr>
            <w:r w:rsidRPr="00697ED5">
              <w:rPr>
                <w:rFonts w:ascii="Calibri" w:eastAsia="Times New Roman" w:hAnsi="Calibri" w:cs="Calibri"/>
                <w:b/>
                <w:bCs/>
                <w:color w:val="000000"/>
              </w:rPr>
              <w:t>Age 18-20</w:t>
            </w:r>
          </w:p>
        </w:tc>
      </w:tr>
      <w:tr w:rsidR="00697ED5" w:rsidRPr="00697ED5" w14:paraId="630E6C8E" w14:textId="77777777" w:rsidTr="00821F7B">
        <w:trPr>
          <w:trHeight w:val="60"/>
          <w:jc w:val="center"/>
        </w:trPr>
        <w:tc>
          <w:tcPr>
            <w:tcW w:w="250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0BA0D09C"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White Male</w:t>
            </w:r>
          </w:p>
        </w:tc>
        <w:tc>
          <w:tcPr>
            <w:tcW w:w="924"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36FA280"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5CB9DA52"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0F9631D"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5A5C3BE1"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05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1F72199B"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74D143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0CDFD084"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B67824A"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White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CFE30A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E9CE2A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3B05A7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F8C593C"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0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64814E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65603E2"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73F2B312"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014F2283"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Black Male</w:t>
            </w:r>
          </w:p>
        </w:tc>
        <w:tc>
          <w:tcPr>
            <w:tcW w:w="924" w:type="dxa"/>
            <w:tcBorders>
              <w:top w:val="single" w:sz="4" w:space="0" w:color="A5A5A5"/>
              <w:left w:val="single" w:sz="4" w:space="0" w:color="A5A5A5"/>
              <w:bottom w:val="single" w:sz="4" w:space="0" w:color="A5A5A5"/>
              <w:right w:val="single" w:sz="4" w:space="0" w:color="A5A5A5"/>
            </w:tcBorders>
            <w:shd w:val="clear" w:color="000000" w:fill="FFEB9C"/>
            <w:vAlign w:val="bottom"/>
            <w:hideMark/>
          </w:tcPr>
          <w:p w14:paraId="53EBA4CD" w14:textId="77777777" w:rsidR="00697ED5" w:rsidRPr="00697ED5" w:rsidRDefault="00697ED5" w:rsidP="00697ED5">
            <w:pPr>
              <w:spacing w:after="0" w:line="240" w:lineRule="auto"/>
              <w:rPr>
                <w:rFonts w:ascii="Calibri" w:eastAsia="Times New Roman" w:hAnsi="Calibri" w:cs="Calibri"/>
                <w:color w:val="9C5700"/>
              </w:rPr>
            </w:pPr>
            <w:r w:rsidRPr="00697ED5">
              <w:rPr>
                <w:rFonts w:ascii="Calibri" w:eastAsia="Times New Roman" w:hAnsi="Calibri" w:cs="Calibri"/>
                <w:color w:val="9C5700"/>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21E2292"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EB9C"/>
            <w:vAlign w:val="bottom"/>
            <w:hideMark/>
          </w:tcPr>
          <w:p w14:paraId="2920EEAB" w14:textId="77777777" w:rsidR="00697ED5" w:rsidRPr="00697ED5" w:rsidRDefault="00697ED5" w:rsidP="00697ED5">
            <w:pPr>
              <w:spacing w:after="0" w:line="240" w:lineRule="auto"/>
              <w:rPr>
                <w:rFonts w:ascii="Calibri" w:eastAsia="Times New Roman" w:hAnsi="Calibri" w:cs="Calibri"/>
                <w:color w:val="9C5700"/>
              </w:rPr>
            </w:pPr>
            <w:r w:rsidRPr="00697ED5">
              <w:rPr>
                <w:rFonts w:ascii="Calibri" w:eastAsia="Times New Roman" w:hAnsi="Calibri" w:cs="Calibri"/>
                <w:color w:val="9C5700"/>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F70CF5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050" w:type="dxa"/>
            <w:tcBorders>
              <w:top w:val="single" w:sz="4" w:space="0" w:color="A5A5A5"/>
              <w:left w:val="single" w:sz="4" w:space="0" w:color="A5A5A5"/>
              <w:bottom w:val="single" w:sz="4" w:space="0" w:color="A5A5A5"/>
              <w:right w:val="single" w:sz="4" w:space="0" w:color="A5A5A5"/>
            </w:tcBorders>
            <w:shd w:val="clear" w:color="000000" w:fill="FFEB9C"/>
            <w:vAlign w:val="bottom"/>
            <w:hideMark/>
          </w:tcPr>
          <w:p w14:paraId="55D01A4B" w14:textId="77777777" w:rsidR="00697ED5" w:rsidRPr="00697ED5" w:rsidRDefault="00697ED5" w:rsidP="00697ED5">
            <w:pPr>
              <w:spacing w:after="0" w:line="240" w:lineRule="auto"/>
              <w:rPr>
                <w:rFonts w:ascii="Calibri" w:eastAsia="Times New Roman" w:hAnsi="Calibri" w:cs="Calibri"/>
                <w:color w:val="9C5700"/>
              </w:rPr>
            </w:pPr>
            <w:r w:rsidRPr="00697ED5">
              <w:rPr>
                <w:rFonts w:ascii="Calibri" w:eastAsia="Times New Roman" w:hAnsi="Calibri" w:cs="Calibri"/>
                <w:color w:val="9C5700"/>
              </w:rPr>
              <w:t>N</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B8DA4A9"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1D1C0387"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40CCA4E9"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Black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5DF63BA"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6018B5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44A9DD5"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D95D470"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0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803A149"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E4F23C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47E520DF"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56C0060B"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Native American 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FB4B016"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1D3F88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BF2709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ED736F0"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0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163716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F032D1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546299E7"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C2AE53A"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Native American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4A8B038"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67D3F7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DF994DF"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AD10F86"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0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14D395B"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A9E424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1F672E19"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65B71E83"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Immigrant Male</w:t>
            </w:r>
          </w:p>
        </w:tc>
        <w:tc>
          <w:tcPr>
            <w:tcW w:w="924"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D1A8180"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CE6D348"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7E444B71"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1D0F2989"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050"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9B92D6E" w14:textId="77777777" w:rsidR="00697ED5" w:rsidRPr="00697ED5" w:rsidRDefault="00697ED5" w:rsidP="00697ED5">
            <w:pPr>
              <w:spacing w:after="0" w:line="240" w:lineRule="auto"/>
              <w:rPr>
                <w:rFonts w:ascii="Calibri" w:eastAsia="Times New Roman" w:hAnsi="Calibri" w:cs="Calibri"/>
                <w:color w:val="006100"/>
              </w:rPr>
            </w:pPr>
            <w:r w:rsidRPr="00697ED5">
              <w:rPr>
                <w:rFonts w:ascii="Calibri" w:eastAsia="Times New Roman" w:hAnsi="Calibri" w:cs="Calibri"/>
                <w:color w:val="006100"/>
              </w:rPr>
              <w:t>Y</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010CBCD"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r w:rsidR="00697ED5" w:rsidRPr="00697ED5" w14:paraId="15A31EDF" w14:textId="77777777" w:rsidTr="00821F7B">
        <w:trPr>
          <w:trHeight w:val="70"/>
          <w:jc w:val="center"/>
        </w:trPr>
        <w:tc>
          <w:tcPr>
            <w:tcW w:w="250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54603885" w14:textId="77777777" w:rsidR="00697ED5" w:rsidRPr="00697ED5" w:rsidRDefault="00697ED5" w:rsidP="00697ED5">
            <w:pPr>
              <w:spacing w:after="0" w:line="240" w:lineRule="auto"/>
              <w:rPr>
                <w:rFonts w:ascii="Calibri" w:eastAsia="Times New Roman" w:hAnsi="Calibri" w:cs="Calibri"/>
                <w:color w:val="000000"/>
              </w:rPr>
            </w:pPr>
            <w:r w:rsidRPr="00697ED5">
              <w:rPr>
                <w:rFonts w:ascii="Calibri" w:eastAsia="Times New Roman" w:hAnsi="Calibri" w:cs="Calibri"/>
                <w:color w:val="000000"/>
              </w:rPr>
              <w:t>Immigrant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A6519B7"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3983B53"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228C1A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09B2AF1"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05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BCB4D9E"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c>
          <w:tcPr>
            <w:tcW w:w="126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16DA014" w14:textId="77777777" w:rsidR="00697ED5" w:rsidRPr="00697ED5" w:rsidRDefault="00697ED5" w:rsidP="00697ED5">
            <w:pPr>
              <w:spacing w:after="0" w:line="240" w:lineRule="auto"/>
              <w:rPr>
                <w:rFonts w:ascii="Calibri" w:eastAsia="Times New Roman" w:hAnsi="Calibri" w:cs="Calibri"/>
                <w:color w:val="9C0006"/>
              </w:rPr>
            </w:pPr>
            <w:r w:rsidRPr="00697ED5">
              <w:rPr>
                <w:rFonts w:ascii="Calibri" w:eastAsia="Times New Roman" w:hAnsi="Calibri" w:cs="Calibri"/>
                <w:color w:val="9C0006"/>
              </w:rPr>
              <w:t>N</w:t>
            </w:r>
          </w:p>
        </w:tc>
      </w:tr>
    </w:tbl>
    <w:p w14:paraId="0F0CD56C" w14:textId="516BB801" w:rsidR="00697ED5" w:rsidRDefault="00697ED5" w:rsidP="00697ED5">
      <w:pPr>
        <w:jc w:val="center"/>
        <w:rPr>
          <w:rFonts w:ascii="Times New Roman" w:hAnsi="Times New Roman" w:cs="Times New Roman"/>
          <w:sz w:val="24"/>
          <w:szCs w:val="24"/>
        </w:rPr>
      </w:pPr>
    </w:p>
    <w:p w14:paraId="2C7ED668" w14:textId="5BB16237" w:rsidR="00821F7B" w:rsidRDefault="00821F7B" w:rsidP="00697ED5">
      <w:pPr>
        <w:jc w:val="center"/>
        <w:rPr>
          <w:rFonts w:ascii="Times New Roman" w:hAnsi="Times New Roman" w:cs="Times New Roman"/>
          <w:sz w:val="24"/>
          <w:szCs w:val="24"/>
        </w:rPr>
      </w:pPr>
      <w:r>
        <w:rPr>
          <w:rFonts w:ascii="Times New Roman" w:hAnsi="Times New Roman" w:cs="Times New Roman"/>
          <w:b/>
          <w:sz w:val="24"/>
          <w:szCs w:val="24"/>
          <w:u w:val="single"/>
        </w:rPr>
        <w:t>Table 4: 1870- Ratification of the Fifteenth Amendment</w:t>
      </w:r>
    </w:p>
    <w:tbl>
      <w:tblPr>
        <w:tblW w:w="8370" w:type="dxa"/>
        <w:jc w:val="center"/>
        <w:tblLook w:val="04A0" w:firstRow="1" w:lastRow="0" w:firstColumn="1" w:lastColumn="0" w:noHBand="0" w:noVBand="1"/>
      </w:tblPr>
      <w:tblGrid>
        <w:gridCol w:w="2414"/>
        <w:gridCol w:w="924"/>
        <w:gridCol w:w="929"/>
        <w:gridCol w:w="939"/>
        <w:gridCol w:w="939"/>
        <w:gridCol w:w="1055"/>
        <w:gridCol w:w="1170"/>
      </w:tblGrid>
      <w:tr w:rsidR="00821F7B" w:rsidRPr="00821F7B" w14:paraId="7A4D42F4" w14:textId="77777777" w:rsidTr="00821F7B">
        <w:trPr>
          <w:trHeight w:val="70"/>
          <w:jc w:val="center"/>
        </w:trPr>
        <w:tc>
          <w:tcPr>
            <w:tcW w:w="2414"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3F824F49"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Race/Sex</w:t>
            </w:r>
          </w:p>
        </w:tc>
        <w:tc>
          <w:tcPr>
            <w:tcW w:w="924"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05286C0E"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Rich</w:t>
            </w:r>
          </w:p>
        </w:tc>
        <w:tc>
          <w:tcPr>
            <w:tcW w:w="92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7AC601F7"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Poor</w:t>
            </w:r>
          </w:p>
        </w:tc>
        <w:tc>
          <w:tcPr>
            <w:tcW w:w="93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1946595E"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North</w:t>
            </w:r>
          </w:p>
        </w:tc>
        <w:tc>
          <w:tcPr>
            <w:tcW w:w="939"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3ADF2FB5"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South</w:t>
            </w:r>
          </w:p>
        </w:tc>
        <w:tc>
          <w:tcPr>
            <w:tcW w:w="1055"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1F361450"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21+</w:t>
            </w:r>
          </w:p>
        </w:tc>
        <w:tc>
          <w:tcPr>
            <w:tcW w:w="1170"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78B60791"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18-20</w:t>
            </w:r>
          </w:p>
        </w:tc>
      </w:tr>
      <w:tr w:rsidR="00821F7B" w:rsidRPr="00821F7B" w14:paraId="15DA7815" w14:textId="77777777" w:rsidTr="00821F7B">
        <w:trPr>
          <w:trHeight w:val="60"/>
          <w:jc w:val="center"/>
        </w:trPr>
        <w:tc>
          <w:tcPr>
            <w:tcW w:w="241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010E7F75"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Male</w:t>
            </w:r>
          </w:p>
        </w:tc>
        <w:tc>
          <w:tcPr>
            <w:tcW w:w="924"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243C65E0"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C1D08F6"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40ED886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73963D5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055"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5BC2AB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EBF8EE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014BE36"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793D85C8"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84246C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1A2740C"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04AC0D5"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ED4885E"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05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A804196"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560DD3F"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652AED9D"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56D1EF1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Male</w:t>
            </w:r>
          </w:p>
        </w:tc>
        <w:tc>
          <w:tcPr>
            <w:tcW w:w="924"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4ECD23A9"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2EDDE4FC"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11A6622E"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37112EE4"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055" w:type="dxa"/>
            <w:tcBorders>
              <w:top w:val="single" w:sz="4" w:space="0" w:color="A5A5A5"/>
              <w:left w:val="single" w:sz="4" w:space="0" w:color="A5A5A5"/>
              <w:bottom w:val="single" w:sz="4" w:space="0" w:color="A5A5A5"/>
              <w:right w:val="single" w:sz="4" w:space="0" w:color="A5A5A5"/>
            </w:tcBorders>
            <w:shd w:val="clear" w:color="000000" w:fill="8EA9DB"/>
            <w:vAlign w:val="bottom"/>
            <w:hideMark/>
          </w:tcPr>
          <w:p w14:paraId="2940B2CD"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2183160"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37D8AA54"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3AEA93A6"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42F2B8F"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0A6E82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E2462B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4EC558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05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1999313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501244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17E0C13B"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0E0B34C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EF39A9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27E81D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A4755DF"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6DB5F3CC"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05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856C44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3B3E83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38C128AC"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2461A4D7"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0FD8C9E"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A08724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2115B2D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87AA4C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05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410CC8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383F7A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3F8BBC7F"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EDEDED" w:fill="EDEDED"/>
            <w:vAlign w:val="bottom"/>
            <w:hideMark/>
          </w:tcPr>
          <w:p w14:paraId="6542283F"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Male</w:t>
            </w:r>
          </w:p>
        </w:tc>
        <w:tc>
          <w:tcPr>
            <w:tcW w:w="924"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360EE9F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2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75321326"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1D158D0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39"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5ECFC82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055" w:type="dxa"/>
            <w:tcBorders>
              <w:top w:val="single" w:sz="4" w:space="0" w:color="A5A5A5"/>
              <w:left w:val="single" w:sz="4" w:space="0" w:color="A5A5A5"/>
              <w:bottom w:val="single" w:sz="4" w:space="0" w:color="A5A5A5"/>
              <w:right w:val="single" w:sz="4" w:space="0" w:color="A5A5A5"/>
            </w:tcBorders>
            <w:shd w:val="clear" w:color="000000" w:fill="C6EFCE"/>
            <w:vAlign w:val="bottom"/>
            <w:hideMark/>
          </w:tcPr>
          <w:p w14:paraId="643EDACF"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5A5D1216"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8960DD5" w14:textId="77777777" w:rsidTr="00821F7B">
        <w:trPr>
          <w:trHeight w:val="70"/>
          <w:jc w:val="center"/>
        </w:trPr>
        <w:tc>
          <w:tcPr>
            <w:tcW w:w="241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14:paraId="6ECB1A3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Female</w:t>
            </w:r>
          </w:p>
        </w:tc>
        <w:tc>
          <w:tcPr>
            <w:tcW w:w="924"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0B8C3A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2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4B36052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72717BB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39"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06A333A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055"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E008AE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70" w:type="dxa"/>
            <w:tcBorders>
              <w:top w:val="single" w:sz="4" w:space="0" w:color="A5A5A5"/>
              <w:left w:val="single" w:sz="4" w:space="0" w:color="A5A5A5"/>
              <w:bottom w:val="single" w:sz="4" w:space="0" w:color="A5A5A5"/>
              <w:right w:val="single" w:sz="4" w:space="0" w:color="A5A5A5"/>
            </w:tcBorders>
            <w:shd w:val="clear" w:color="000000" w:fill="FFC7CE"/>
            <w:vAlign w:val="bottom"/>
            <w:hideMark/>
          </w:tcPr>
          <w:p w14:paraId="35DE34A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bl>
    <w:p w14:paraId="3F11BABD" w14:textId="1AC123D4" w:rsidR="00821F7B" w:rsidRDefault="00821F7B" w:rsidP="00697ED5">
      <w:pPr>
        <w:jc w:val="center"/>
        <w:rPr>
          <w:rFonts w:ascii="Times New Roman" w:hAnsi="Times New Roman" w:cs="Times New Roman"/>
          <w:sz w:val="24"/>
          <w:szCs w:val="24"/>
        </w:rPr>
      </w:pPr>
    </w:p>
    <w:p w14:paraId="7E8844C4" w14:textId="4CC321B7" w:rsidR="00821F7B" w:rsidRDefault="00821F7B" w:rsidP="00697ED5">
      <w:pPr>
        <w:jc w:val="center"/>
        <w:rPr>
          <w:rFonts w:ascii="Times New Roman" w:hAnsi="Times New Roman" w:cs="Times New Roman"/>
          <w:sz w:val="24"/>
          <w:szCs w:val="24"/>
        </w:rPr>
      </w:pPr>
    </w:p>
    <w:p w14:paraId="74F155E6" w14:textId="69795263" w:rsidR="00821F7B" w:rsidRDefault="00821F7B" w:rsidP="00697ED5">
      <w:pPr>
        <w:jc w:val="center"/>
        <w:rPr>
          <w:rFonts w:ascii="Times New Roman" w:hAnsi="Times New Roman" w:cs="Times New Roman"/>
          <w:sz w:val="24"/>
          <w:szCs w:val="24"/>
        </w:rPr>
      </w:pPr>
    </w:p>
    <w:p w14:paraId="6E5A874A" w14:textId="4C0EA389" w:rsidR="00821F7B" w:rsidRDefault="00821F7B" w:rsidP="00697ED5">
      <w:pPr>
        <w:jc w:val="center"/>
        <w:rPr>
          <w:rFonts w:ascii="Times New Roman" w:hAnsi="Times New Roman" w:cs="Times New Roman"/>
          <w:b/>
          <w:sz w:val="24"/>
          <w:szCs w:val="24"/>
          <w:u w:val="single"/>
        </w:rPr>
      </w:pPr>
      <w:r w:rsidRPr="00821F7B">
        <w:rPr>
          <w:rFonts w:ascii="Times New Roman" w:hAnsi="Times New Roman" w:cs="Times New Roman"/>
          <w:b/>
          <w:sz w:val="24"/>
          <w:szCs w:val="24"/>
          <w:u w:val="single"/>
        </w:rPr>
        <w:lastRenderedPageBreak/>
        <w:t xml:space="preserve">Table 5: </w:t>
      </w:r>
      <w:r>
        <w:rPr>
          <w:rFonts w:ascii="Times New Roman" w:hAnsi="Times New Roman" w:cs="Times New Roman"/>
          <w:b/>
          <w:sz w:val="24"/>
          <w:szCs w:val="24"/>
          <w:u w:val="single"/>
        </w:rPr>
        <w:t>190</w:t>
      </w:r>
      <w:r w:rsidR="00E40E44">
        <w:rPr>
          <w:rFonts w:ascii="Times New Roman" w:hAnsi="Times New Roman" w:cs="Times New Roman"/>
          <w:b/>
          <w:sz w:val="24"/>
          <w:szCs w:val="24"/>
          <w:u w:val="single"/>
        </w:rPr>
        <w:t>8</w:t>
      </w:r>
      <w:r>
        <w:rPr>
          <w:rFonts w:ascii="Times New Roman" w:hAnsi="Times New Roman" w:cs="Times New Roman"/>
          <w:b/>
          <w:sz w:val="24"/>
          <w:szCs w:val="24"/>
          <w:u w:val="single"/>
        </w:rPr>
        <w:t xml:space="preserve">- </w:t>
      </w:r>
      <w:r w:rsidRPr="00821F7B">
        <w:rPr>
          <w:rFonts w:ascii="Times New Roman" w:hAnsi="Times New Roman" w:cs="Times New Roman"/>
          <w:b/>
          <w:sz w:val="24"/>
          <w:szCs w:val="24"/>
          <w:u w:val="single"/>
        </w:rPr>
        <w:t>Literacy Tests and Poll Taxes in the South</w:t>
      </w:r>
    </w:p>
    <w:tbl>
      <w:tblPr>
        <w:tblW w:w="8460" w:type="dxa"/>
        <w:jc w:val="center"/>
        <w:tblLook w:val="04A0" w:firstRow="1" w:lastRow="0" w:firstColumn="1" w:lastColumn="0" w:noHBand="0" w:noVBand="1"/>
      </w:tblPr>
      <w:tblGrid>
        <w:gridCol w:w="2491"/>
        <w:gridCol w:w="960"/>
        <w:gridCol w:w="960"/>
        <w:gridCol w:w="960"/>
        <w:gridCol w:w="960"/>
        <w:gridCol w:w="960"/>
        <w:gridCol w:w="1169"/>
      </w:tblGrid>
      <w:tr w:rsidR="00821F7B" w:rsidRPr="00821F7B" w14:paraId="30D467DA" w14:textId="77777777" w:rsidTr="00821F7B">
        <w:trPr>
          <w:trHeight w:val="300"/>
          <w:jc w:val="center"/>
        </w:trPr>
        <w:tc>
          <w:tcPr>
            <w:tcW w:w="2491"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A21EC95"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Race/Sex</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27DCE06"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Rich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F557101"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Poor</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BDD0F61"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North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0AA3B1D1"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South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4E94D88"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21+</w:t>
            </w:r>
          </w:p>
        </w:tc>
        <w:tc>
          <w:tcPr>
            <w:tcW w:w="116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550337F"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18-20</w:t>
            </w:r>
          </w:p>
        </w:tc>
      </w:tr>
      <w:tr w:rsidR="00821F7B" w:rsidRPr="00821F7B" w14:paraId="33AC42AF"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FA0F26E"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C8156CE"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8EBE571"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CCDFA4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506D0D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187265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8D6CE1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27C4CC3"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2870B9D"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Female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1D5704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44169E0"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C87898C"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6B48B2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74B92C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94B22A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65F003AB"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599994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098FFDF"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89CDCC3"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4CDFB02"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FFEB9C"/>
            <w:noWrap/>
            <w:vAlign w:val="bottom"/>
            <w:hideMark/>
          </w:tcPr>
          <w:p w14:paraId="2D235139" w14:textId="77777777" w:rsidR="00821F7B" w:rsidRPr="00821F7B" w:rsidRDefault="00821F7B" w:rsidP="00821F7B">
            <w:pPr>
              <w:spacing w:after="0" w:line="240" w:lineRule="auto"/>
              <w:rPr>
                <w:rFonts w:ascii="Calibri" w:eastAsia="Times New Roman" w:hAnsi="Calibri" w:cs="Calibri"/>
                <w:color w:val="9C5700"/>
              </w:rPr>
            </w:pPr>
            <w:r w:rsidRPr="00821F7B">
              <w:rPr>
                <w:rFonts w:ascii="Calibri" w:eastAsia="Times New Roman" w:hAnsi="Calibri" w:cs="Calibri"/>
                <w:color w:val="9C5700"/>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EEFB4D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CF9CB1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187F41AC"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3C9B5AD"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Female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C4B7FAC"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76DAA7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530C3C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AD2DC5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65BE0F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DD2BBE5"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EF62865"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507122A"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B50B55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248B905"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AEED16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6E52FE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16C24D0"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CCCFC40"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3BF6E641"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478A25B"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Female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2F9339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D3DA42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0CEC2F4"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71A0EB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DB44B7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8C0EAA8"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32C3CA39"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9EC207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2A50D7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102E24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6AF994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99830AE"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E904EA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126A63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18CD305"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C31CDAB"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Female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DABCE3F"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314186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4F93F9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909A70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25A7FB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4E2F2E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bl>
    <w:p w14:paraId="521A6CCF" w14:textId="000B32C0" w:rsidR="00821F7B" w:rsidRDefault="00821F7B" w:rsidP="00697ED5">
      <w:pPr>
        <w:jc w:val="center"/>
        <w:rPr>
          <w:rFonts w:ascii="Times New Roman" w:hAnsi="Times New Roman" w:cs="Times New Roman"/>
          <w:b/>
          <w:sz w:val="24"/>
          <w:szCs w:val="24"/>
          <w:u w:val="single"/>
        </w:rPr>
      </w:pPr>
    </w:p>
    <w:p w14:paraId="48A6A8B2" w14:textId="25A48487" w:rsidR="00821F7B" w:rsidRDefault="00821F7B" w:rsidP="00697ED5">
      <w:pPr>
        <w:jc w:val="center"/>
        <w:rPr>
          <w:rFonts w:ascii="Times New Roman" w:hAnsi="Times New Roman" w:cs="Times New Roman"/>
          <w:b/>
          <w:sz w:val="24"/>
          <w:szCs w:val="24"/>
          <w:u w:val="single"/>
        </w:rPr>
      </w:pPr>
      <w:r>
        <w:rPr>
          <w:rFonts w:ascii="Times New Roman" w:hAnsi="Times New Roman" w:cs="Times New Roman"/>
          <w:b/>
          <w:sz w:val="24"/>
          <w:szCs w:val="24"/>
          <w:u w:val="single"/>
        </w:rPr>
        <w:t>Table 6: 1920- Ratification of the Nineteenth Amendment</w:t>
      </w:r>
    </w:p>
    <w:tbl>
      <w:tblPr>
        <w:tblW w:w="8460" w:type="dxa"/>
        <w:jc w:val="center"/>
        <w:tblLook w:val="04A0" w:firstRow="1" w:lastRow="0" w:firstColumn="1" w:lastColumn="0" w:noHBand="0" w:noVBand="1"/>
      </w:tblPr>
      <w:tblGrid>
        <w:gridCol w:w="2491"/>
        <w:gridCol w:w="960"/>
        <w:gridCol w:w="960"/>
        <w:gridCol w:w="960"/>
        <w:gridCol w:w="960"/>
        <w:gridCol w:w="960"/>
        <w:gridCol w:w="1169"/>
      </w:tblGrid>
      <w:tr w:rsidR="00821F7B" w:rsidRPr="00821F7B" w14:paraId="21B50C06" w14:textId="77777777" w:rsidTr="00821F7B">
        <w:trPr>
          <w:trHeight w:val="300"/>
          <w:jc w:val="center"/>
        </w:trPr>
        <w:tc>
          <w:tcPr>
            <w:tcW w:w="2491"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E2B087F"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Race/Sex</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03F1EC72"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Rich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73089213"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Poor</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AD8D9BE"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North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5C2604CB"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South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992D77B"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21+</w:t>
            </w:r>
          </w:p>
        </w:tc>
        <w:tc>
          <w:tcPr>
            <w:tcW w:w="116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51616D90"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18-20</w:t>
            </w:r>
          </w:p>
        </w:tc>
      </w:tr>
      <w:tr w:rsidR="00821F7B" w:rsidRPr="00821F7B" w14:paraId="441284D0"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99B0C6F"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C38D86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BD2348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A368586"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8AD3508"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7D8351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C79B49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47921828"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57DE5A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Female</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19DED83C"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151A369D"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9ADDD15"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0E07436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47B07E0F"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8E0EA8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4F71B1F"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AB58B93"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1B86676"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A3F917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3BC387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6CF8DA4"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379A6F2"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D0647A3"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0FB5F6A9"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6D8451C"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Female</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1E01CA3"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DB76E69"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711379C6"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33393A6"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3CB3FE6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032961E"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1E1AF50"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2C46B3D"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452E5B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B428BAC"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2F50D3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E07E41F"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FC75280"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CB4DF2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4DD7F1EB"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A0F693A"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Female</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C44B5C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2FD853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2ECF34A"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73E22F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5D049B4"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2A84E7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A4CF8DD"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0689C69"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845526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676B60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332BD9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CA0B59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C62D98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74056C0"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9EF46CC" w14:textId="77777777" w:rsidTr="00821F7B">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5F40C73"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Female</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5E8E93A2"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1EC2915C"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94F324B"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5E491FBE"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36539437"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F69D3C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bl>
    <w:p w14:paraId="337CE884" w14:textId="2A231E97" w:rsidR="00821F7B" w:rsidRDefault="00821F7B" w:rsidP="00697ED5">
      <w:pPr>
        <w:jc w:val="center"/>
        <w:rPr>
          <w:rFonts w:ascii="Times New Roman" w:hAnsi="Times New Roman" w:cs="Times New Roman"/>
          <w:sz w:val="24"/>
          <w:szCs w:val="24"/>
        </w:rPr>
      </w:pPr>
    </w:p>
    <w:p w14:paraId="205948DF" w14:textId="0E891B22" w:rsidR="00821F7B" w:rsidRDefault="00821F7B" w:rsidP="00697ED5">
      <w:pPr>
        <w:jc w:val="center"/>
        <w:rPr>
          <w:rFonts w:ascii="Times New Roman" w:hAnsi="Times New Roman" w:cs="Times New Roman"/>
          <w:b/>
          <w:sz w:val="24"/>
          <w:szCs w:val="24"/>
          <w:u w:val="single"/>
        </w:rPr>
      </w:pPr>
      <w:r>
        <w:rPr>
          <w:rFonts w:ascii="Times New Roman" w:hAnsi="Times New Roman" w:cs="Times New Roman"/>
          <w:b/>
          <w:sz w:val="24"/>
          <w:szCs w:val="24"/>
          <w:u w:val="single"/>
        </w:rPr>
        <w:t>Table 7: 1924- Citizenship Given to Native Americans</w:t>
      </w:r>
    </w:p>
    <w:tbl>
      <w:tblPr>
        <w:tblW w:w="8550" w:type="dxa"/>
        <w:jc w:val="center"/>
        <w:tblLook w:val="04A0" w:firstRow="1" w:lastRow="0" w:firstColumn="1" w:lastColumn="0" w:noHBand="0" w:noVBand="1"/>
      </w:tblPr>
      <w:tblGrid>
        <w:gridCol w:w="2581"/>
        <w:gridCol w:w="960"/>
        <w:gridCol w:w="960"/>
        <w:gridCol w:w="960"/>
        <w:gridCol w:w="960"/>
        <w:gridCol w:w="960"/>
        <w:gridCol w:w="1169"/>
      </w:tblGrid>
      <w:tr w:rsidR="00821F7B" w:rsidRPr="00821F7B" w14:paraId="4DABB803" w14:textId="77777777" w:rsidTr="00821F7B">
        <w:trPr>
          <w:trHeight w:val="300"/>
          <w:jc w:val="center"/>
        </w:trPr>
        <w:tc>
          <w:tcPr>
            <w:tcW w:w="2581"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2C122F5"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Race/Sex</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666CC1F"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Rich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0B1A72B"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Poor</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0A66D14D"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North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5781EB0"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South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0C3E03C2"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21+</w:t>
            </w:r>
          </w:p>
        </w:tc>
        <w:tc>
          <w:tcPr>
            <w:tcW w:w="116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222D755"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18-20</w:t>
            </w:r>
          </w:p>
        </w:tc>
      </w:tr>
      <w:tr w:rsidR="00821F7B" w:rsidRPr="00821F7B" w14:paraId="346C3029"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FBF26A7"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33AAD28"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D11C53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DC818E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070907E"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963F031"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A02470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283B4DA"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5807374"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BDA0BD3"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704599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CEE020C"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1D15A6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787002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11DE26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1912A82"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1BDFFD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10BA8A1"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750E8B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5FC0E6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1C1EE38"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7DCC1E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B07493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7860831"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918A168"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0F4E700"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E4ECB22"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FD3B2E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783937F"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DBE5CD6"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AFC2E3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4D8BAA01"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BF4FE37"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Male</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60C96995"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9E45EA9"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39103197"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3D4B5089"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0D5D7A14"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62110B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43FA87CC"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205BA9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Female</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30D2E3C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5783ADC"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1076C8F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38076FD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1059432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B70DDD1"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506AAE9D"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D387406"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9C7FEF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88E3702"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2E10E62"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EF1AA7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82510B6"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00FEF78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12787AF5" w14:textId="77777777" w:rsidTr="00821F7B">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7B99C32"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6AA035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34E8D3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78BB5A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5C445C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5B66831"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1C80BC6"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bl>
    <w:p w14:paraId="3CE2A2D8" w14:textId="527E884E" w:rsidR="00821F7B" w:rsidRDefault="00821F7B" w:rsidP="00697ED5">
      <w:pPr>
        <w:jc w:val="center"/>
        <w:rPr>
          <w:rFonts w:ascii="Times New Roman" w:hAnsi="Times New Roman" w:cs="Times New Roman"/>
          <w:sz w:val="24"/>
          <w:szCs w:val="24"/>
        </w:rPr>
      </w:pPr>
    </w:p>
    <w:p w14:paraId="5B3FF46C" w14:textId="4551FAAA" w:rsidR="00821F7B" w:rsidRPr="00821F7B" w:rsidRDefault="00821F7B" w:rsidP="0013708A">
      <w:pPr>
        <w:jc w:val="center"/>
        <w:rPr>
          <w:rFonts w:ascii="Times New Roman" w:hAnsi="Times New Roman" w:cs="Times New Roman"/>
          <w:b/>
          <w:sz w:val="24"/>
          <w:szCs w:val="24"/>
          <w:u w:val="single"/>
        </w:rPr>
      </w:pPr>
      <w:r w:rsidRPr="00821F7B">
        <w:rPr>
          <w:rFonts w:ascii="Times New Roman" w:hAnsi="Times New Roman" w:cs="Times New Roman"/>
          <w:b/>
          <w:sz w:val="24"/>
          <w:szCs w:val="24"/>
          <w:u w:val="single"/>
        </w:rPr>
        <w:t xml:space="preserve">Table 8: 1965- </w:t>
      </w:r>
      <w:r w:rsidR="0013708A">
        <w:rPr>
          <w:rFonts w:ascii="Times New Roman" w:hAnsi="Times New Roman" w:cs="Times New Roman"/>
          <w:b/>
          <w:sz w:val="24"/>
          <w:szCs w:val="24"/>
          <w:u w:val="single"/>
        </w:rPr>
        <w:t xml:space="preserve">The Twenty-Fourth Amendment and </w:t>
      </w:r>
      <w:r w:rsidRPr="00821F7B">
        <w:rPr>
          <w:rFonts w:ascii="Times New Roman" w:hAnsi="Times New Roman" w:cs="Times New Roman"/>
          <w:b/>
          <w:sz w:val="24"/>
          <w:szCs w:val="24"/>
          <w:u w:val="single"/>
        </w:rPr>
        <w:t>The Voting Rights Act</w:t>
      </w:r>
    </w:p>
    <w:tbl>
      <w:tblPr>
        <w:tblW w:w="8460" w:type="dxa"/>
        <w:jc w:val="center"/>
        <w:tblLook w:val="04A0" w:firstRow="1" w:lastRow="0" w:firstColumn="1" w:lastColumn="0" w:noHBand="0" w:noVBand="1"/>
      </w:tblPr>
      <w:tblGrid>
        <w:gridCol w:w="2491"/>
        <w:gridCol w:w="960"/>
        <w:gridCol w:w="960"/>
        <w:gridCol w:w="960"/>
        <w:gridCol w:w="960"/>
        <w:gridCol w:w="960"/>
        <w:gridCol w:w="1169"/>
      </w:tblGrid>
      <w:tr w:rsidR="00821F7B" w:rsidRPr="00821F7B" w14:paraId="57B777F6" w14:textId="77777777" w:rsidTr="00B863DF">
        <w:trPr>
          <w:trHeight w:val="300"/>
          <w:jc w:val="center"/>
        </w:trPr>
        <w:tc>
          <w:tcPr>
            <w:tcW w:w="2491"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CDBBAC6"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Race/Sex</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498F767"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Rich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B57EA1B"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Poor</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6BCF6C9"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North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A5442EE"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South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D9869FE"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21+</w:t>
            </w:r>
          </w:p>
        </w:tc>
        <w:tc>
          <w:tcPr>
            <w:tcW w:w="116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B2724B1" w14:textId="77777777" w:rsidR="00821F7B" w:rsidRPr="00821F7B" w:rsidRDefault="00821F7B" w:rsidP="00821F7B">
            <w:pPr>
              <w:spacing w:after="0" w:line="240" w:lineRule="auto"/>
              <w:rPr>
                <w:rFonts w:ascii="Calibri" w:eastAsia="Times New Roman" w:hAnsi="Calibri" w:cs="Calibri"/>
                <w:b/>
                <w:bCs/>
                <w:color w:val="000000"/>
              </w:rPr>
            </w:pPr>
            <w:r w:rsidRPr="00821F7B">
              <w:rPr>
                <w:rFonts w:ascii="Calibri" w:eastAsia="Times New Roman" w:hAnsi="Calibri" w:cs="Calibri"/>
                <w:b/>
                <w:bCs/>
                <w:color w:val="000000"/>
              </w:rPr>
              <w:t>Age 18-20</w:t>
            </w:r>
          </w:p>
        </w:tc>
      </w:tr>
      <w:tr w:rsidR="00821F7B" w:rsidRPr="00821F7B" w14:paraId="162F27F9"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481F44E"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886294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DEB6E6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BF82463"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998CD2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603D75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6C6913F2"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1FEECC1D"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A1D3514"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White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D8A0DE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443C48F"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6D88EE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CEEC53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F111A5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E2C2E09"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324D5B04"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7193AE5"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DF52C2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1AC6AAE"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E854EC2"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7B2B2F21"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2BC103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43C6879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7E284EEF"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CA97F25"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Black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D7F8E5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184D95A"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093369F"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5AA3654D"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9721868"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391F3B0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73B63759"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B692D65"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CFF5E3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BCE852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CD6F7D8"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DEEE8AB"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160C1BC"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57F52C6D"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2EFA0FDF"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07644CC"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Native American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43A1C80"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46444E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5B402B3"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5D84A0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59C761C"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1E6BF74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4154AE71"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A3FB6E0"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957998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0AA7877"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6DC1039"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3672DE0"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857E78C"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2F5A96B7"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r w:rsidR="00821F7B" w:rsidRPr="00821F7B" w14:paraId="67273E0D" w14:textId="77777777" w:rsidTr="00B863DF">
        <w:trPr>
          <w:trHeight w:val="300"/>
          <w:jc w:val="center"/>
        </w:trPr>
        <w:tc>
          <w:tcPr>
            <w:tcW w:w="249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8B4F539" w14:textId="77777777" w:rsidR="00821F7B" w:rsidRPr="00821F7B" w:rsidRDefault="00821F7B" w:rsidP="00821F7B">
            <w:pPr>
              <w:spacing w:after="0" w:line="240" w:lineRule="auto"/>
              <w:rPr>
                <w:rFonts w:ascii="Calibri" w:eastAsia="Times New Roman" w:hAnsi="Calibri" w:cs="Calibri"/>
                <w:color w:val="000000"/>
              </w:rPr>
            </w:pPr>
            <w:r w:rsidRPr="00821F7B">
              <w:rPr>
                <w:rFonts w:ascii="Calibri" w:eastAsia="Times New Roman" w:hAnsi="Calibri" w:cs="Calibri"/>
                <w:color w:val="000000"/>
              </w:rPr>
              <w:t>Immigrant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1307330"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ABFA5FF"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54FEBE5"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619A7B4"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143735D" w14:textId="77777777" w:rsidR="00821F7B" w:rsidRPr="00821F7B" w:rsidRDefault="00821F7B" w:rsidP="00821F7B">
            <w:pPr>
              <w:spacing w:after="0" w:line="240" w:lineRule="auto"/>
              <w:rPr>
                <w:rFonts w:ascii="Calibri" w:eastAsia="Times New Roman" w:hAnsi="Calibri" w:cs="Calibri"/>
                <w:color w:val="006100"/>
              </w:rPr>
            </w:pPr>
            <w:r w:rsidRPr="00821F7B">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FFC7CE"/>
            <w:noWrap/>
            <w:vAlign w:val="bottom"/>
            <w:hideMark/>
          </w:tcPr>
          <w:p w14:paraId="73ADA1DB" w14:textId="77777777" w:rsidR="00821F7B" w:rsidRPr="00821F7B" w:rsidRDefault="00821F7B" w:rsidP="00821F7B">
            <w:pPr>
              <w:spacing w:after="0" w:line="240" w:lineRule="auto"/>
              <w:rPr>
                <w:rFonts w:ascii="Calibri" w:eastAsia="Times New Roman" w:hAnsi="Calibri" w:cs="Calibri"/>
                <w:color w:val="9C0006"/>
              </w:rPr>
            </w:pPr>
            <w:r w:rsidRPr="00821F7B">
              <w:rPr>
                <w:rFonts w:ascii="Calibri" w:eastAsia="Times New Roman" w:hAnsi="Calibri" w:cs="Calibri"/>
                <w:color w:val="9C0006"/>
              </w:rPr>
              <w:t>N</w:t>
            </w:r>
          </w:p>
        </w:tc>
      </w:tr>
    </w:tbl>
    <w:p w14:paraId="1CB9CB44" w14:textId="551B7AFC" w:rsidR="00821F7B" w:rsidRDefault="00821F7B" w:rsidP="00697ED5">
      <w:pPr>
        <w:jc w:val="center"/>
        <w:rPr>
          <w:rFonts w:ascii="Times New Roman" w:hAnsi="Times New Roman" w:cs="Times New Roman"/>
          <w:sz w:val="24"/>
          <w:szCs w:val="24"/>
          <w:u w:val="single"/>
        </w:rPr>
      </w:pPr>
    </w:p>
    <w:p w14:paraId="1A49FD7A" w14:textId="1FA54CC1" w:rsidR="00B863DF" w:rsidRDefault="00B863DF" w:rsidP="00697ED5">
      <w:pPr>
        <w:jc w:val="center"/>
        <w:rPr>
          <w:rFonts w:ascii="Times New Roman" w:hAnsi="Times New Roman" w:cs="Times New Roman"/>
          <w:sz w:val="24"/>
          <w:szCs w:val="24"/>
        </w:rPr>
      </w:pPr>
      <w:r>
        <w:rPr>
          <w:rFonts w:ascii="Times New Roman" w:hAnsi="Times New Roman" w:cs="Times New Roman"/>
          <w:b/>
          <w:sz w:val="24"/>
          <w:szCs w:val="24"/>
          <w:u w:val="single"/>
        </w:rPr>
        <w:t>Table 9: 1971- Ratification of the Twenty-Sixth Amendment</w:t>
      </w:r>
    </w:p>
    <w:tbl>
      <w:tblPr>
        <w:tblW w:w="8550" w:type="dxa"/>
        <w:jc w:val="center"/>
        <w:tblLook w:val="04A0" w:firstRow="1" w:lastRow="0" w:firstColumn="1" w:lastColumn="0" w:noHBand="0" w:noVBand="1"/>
      </w:tblPr>
      <w:tblGrid>
        <w:gridCol w:w="2581"/>
        <w:gridCol w:w="960"/>
        <w:gridCol w:w="960"/>
        <w:gridCol w:w="960"/>
        <w:gridCol w:w="960"/>
        <w:gridCol w:w="960"/>
        <w:gridCol w:w="1169"/>
      </w:tblGrid>
      <w:tr w:rsidR="00B863DF" w:rsidRPr="00B863DF" w14:paraId="3082F3AA" w14:textId="77777777" w:rsidTr="00B863DF">
        <w:trPr>
          <w:trHeight w:val="300"/>
          <w:jc w:val="center"/>
        </w:trPr>
        <w:tc>
          <w:tcPr>
            <w:tcW w:w="2581"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74A091A5"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Race/Sex</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F006B6A"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Rich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5E25A0BD"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Poor</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4946DB1"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North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D4102E2"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South</w:t>
            </w:r>
          </w:p>
        </w:tc>
        <w:tc>
          <w:tcPr>
            <w:tcW w:w="960"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2185AF0"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Age 21+</w:t>
            </w:r>
          </w:p>
        </w:tc>
        <w:tc>
          <w:tcPr>
            <w:tcW w:w="116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B6583EC" w14:textId="77777777" w:rsidR="00B863DF" w:rsidRPr="00B863DF" w:rsidRDefault="00B863DF" w:rsidP="00B863DF">
            <w:pPr>
              <w:spacing w:after="0" w:line="240" w:lineRule="auto"/>
              <w:rPr>
                <w:rFonts w:ascii="Calibri" w:eastAsia="Times New Roman" w:hAnsi="Calibri" w:cs="Calibri"/>
                <w:b/>
                <w:bCs/>
                <w:color w:val="000000"/>
              </w:rPr>
            </w:pPr>
            <w:r w:rsidRPr="00B863DF">
              <w:rPr>
                <w:rFonts w:ascii="Calibri" w:eastAsia="Times New Roman" w:hAnsi="Calibri" w:cs="Calibri"/>
                <w:b/>
                <w:bCs/>
                <w:color w:val="000000"/>
              </w:rPr>
              <w:t>Age 18-20</w:t>
            </w:r>
          </w:p>
        </w:tc>
      </w:tr>
      <w:tr w:rsidR="00B863DF" w:rsidRPr="00B863DF" w14:paraId="1E7566A6"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ACA8F36"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White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7E4C4EA"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E63049F"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7B529C5"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C103486"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4BBB6DF"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206359B6"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5775A295"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8EFA561"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White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CA8411F"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DD715A9"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F66AE3D"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1373CB2"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F2026AC"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4F785C31"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1DFC8739"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6EB25B7"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Black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612B36D"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67A1D2F"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5BE83F0"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8D895A9"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7F23775"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42464CC9"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4254E68F"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BDC6521"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Black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1209182"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97AFF11"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E981D06"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C9E2D99"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B4805D1"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15142ED2"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144A73A0"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E1DE599"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Native American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BFDFCC4"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09D6D169"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12C5355"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C85A178"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D905E45"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067D69A4"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5B8932E2"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74279B3"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Native American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C4380D3"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4B1EC5A"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18C52066"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D78AB84"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958C536"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5D9295C9"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17C57843"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971F366"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Immigrant 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63936E16"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9F3409F"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7402EC8D"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F39C06E"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55980251"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439DCCC5"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r w:rsidR="00B863DF" w:rsidRPr="00B863DF" w14:paraId="01476D53" w14:textId="77777777" w:rsidTr="00B863DF">
        <w:trPr>
          <w:trHeight w:val="300"/>
          <w:jc w:val="center"/>
        </w:trPr>
        <w:tc>
          <w:tcPr>
            <w:tcW w:w="2581"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DA35BE3"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Immigrant Female</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F08DA1F"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21A4BC1E"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7D1911B"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4DB89A37"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960" w:type="dxa"/>
            <w:tcBorders>
              <w:top w:val="single" w:sz="4" w:space="0" w:color="A5A5A5"/>
              <w:left w:val="single" w:sz="4" w:space="0" w:color="A5A5A5"/>
              <w:bottom w:val="single" w:sz="4" w:space="0" w:color="A5A5A5"/>
              <w:right w:val="single" w:sz="4" w:space="0" w:color="A5A5A5"/>
            </w:tcBorders>
            <w:shd w:val="clear" w:color="000000" w:fill="C6EFCE"/>
            <w:noWrap/>
            <w:vAlign w:val="bottom"/>
            <w:hideMark/>
          </w:tcPr>
          <w:p w14:paraId="3E010EEA" w14:textId="77777777" w:rsidR="00B863DF" w:rsidRPr="00B863DF" w:rsidRDefault="00B863DF" w:rsidP="00B863DF">
            <w:pPr>
              <w:spacing w:after="0" w:line="240" w:lineRule="auto"/>
              <w:rPr>
                <w:rFonts w:ascii="Calibri" w:eastAsia="Times New Roman" w:hAnsi="Calibri" w:cs="Calibri"/>
                <w:color w:val="006100"/>
              </w:rPr>
            </w:pPr>
            <w:r w:rsidRPr="00B863DF">
              <w:rPr>
                <w:rFonts w:ascii="Calibri" w:eastAsia="Times New Roman" w:hAnsi="Calibri" w:cs="Calibri"/>
                <w:color w:val="006100"/>
              </w:rPr>
              <w:t>Y</w:t>
            </w:r>
          </w:p>
        </w:tc>
        <w:tc>
          <w:tcPr>
            <w:tcW w:w="1169" w:type="dxa"/>
            <w:tcBorders>
              <w:top w:val="single" w:sz="4" w:space="0" w:color="A5A5A5"/>
              <w:left w:val="single" w:sz="4" w:space="0" w:color="A5A5A5"/>
              <w:bottom w:val="single" w:sz="4" w:space="0" w:color="A5A5A5"/>
              <w:right w:val="single" w:sz="4" w:space="0" w:color="A5A5A5"/>
            </w:tcBorders>
            <w:shd w:val="clear" w:color="000000" w:fill="8EA9DB"/>
            <w:noWrap/>
            <w:vAlign w:val="bottom"/>
            <w:hideMark/>
          </w:tcPr>
          <w:p w14:paraId="49A6062B" w14:textId="77777777" w:rsidR="00B863DF" w:rsidRPr="00B863DF" w:rsidRDefault="00B863DF" w:rsidP="00B863DF">
            <w:pPr>
              <w:spacing w:after="0" w:line="240" w:lineRule="auto"/>
              <w:rPr>
                <w:rFonts w:ascii="Calibri" w:eastAsia="Times New Roman" w:hAnsi="Calibri" w:cs="Calibri"/>
                <w:color w:val="000000"/>
              </w:rPr>
            </w:pPr>
            <w:r w:rsidRPr="00B863DF">
              <w:rPr>
                <w:rFonts w:ascii="Calibri" w:eastAsia="Times New Roman" w:hAnsi="Calibri" w:cs="Calibri"/>
                <w:color w:val="000000"/>
              </w:rPr>
              <w:t>Y</w:t>
            </w:r>
          </w:p>
        </w:tc>
      </w:tr>
    </w:tbl>
    <w:p w14:paraId="237E4615" w14:textId="750A15B6" w:rsidR="00B863DF" w:rsidRDefault="00B863DF" w:rsidP="00697ED5">
      <w:pPr>
        <w:jc w:val="center"/>
        <w:rPr>
          <w:rFonts w:ascii="Times New Roman" w:hAnsi="Times New Roman" w:cs="Times New Roman"/>
          <w:sz w:val="24"/>
          <w:szCs w:val="24"/>
        </w:rPr>
      </w:pPr>
    </w:p>
    <w:p w14:paraId="1EEFCBAC" w14:textId="70655654" w:rsidR="0013708A" w:rsidRDefault="0013708A" w:rsidP="00697ED5">
      <w:pPr>
        <w:jc w:val="center"/>
        <w:rPr>
          <w:rFonts w:ascii="Times New Roman" w:hAnsi="Times New Roman" w:cs="Times New Roman"/>
          <w:sz w:val="24"/>
          <w:szCs w:val="24"/>
        </w:rPr>
      </w:pPr>
    </w:p>
    <w:p w14:paraId="7AADD457" w14:textId="79B8094F" w:rsidR="0013708A" w:rsidRDefault="0013708A" w:rsidP="00697ED5">
      <w:pPr>
        <w:jc w:val="center"/>
        <w:rPr>
          <w:rFonts w:ascii="Times New Roman" w:hAnsi="Times New Roman" w:cs="Times New Roman"/>
          <w:sz w:val="24"/>
          <w:szCs w:val="24"/>
        </w:rPr>
      </w:pPr>
    </w:p>
    <w:p w14:paraId="244A17B5" w14:textId="497C45E8" w:rsidR="0013708A" w:rsidRDefault="0013708A" w:rsidP="00697ED5">
      <w:pPr>
        <w:jc w:val="center"/>
        <w:rPr>
          <w:rFonts w:ascii="Times New Roman" w:hAnsi="Times New Roman" w:cs="Times New Roman"/>
          <w:sz w:val="24"/>
          <w:szCs w:val="24"/>
        </w:rPr>
      </w:pPr>
    </w:p>
    <w:p w14:paraId="3F92B63D" w14:textId="7A661DA5" w:rsidR="0013708A" w:rsidRDefault="0013708A" w:rsidP="00697ED5">
      <w:pPr>
        <w:jc w:val="center"/>
        <w:rPr>
          <w:rFonts w:ascii="Times New Roman" w:hAnsi="Times New Roman" w:cs="Times New Roman"/>
          <w:sz w:val="24"/>
          <w:szCs w:val="24"/>
        </w:rPr>
      </w:pPr>
    </w:p>
    <w:p w14:paraId="3A8C3AD4" w14:textId="30B9A278" w:rsidR="0013708A" w:rsidRDefault="0013708A" w:rsidP="00697ED5">
      <w:pPr>
        <w:jc w:val="center"/>
        <w:rPr>
          <w:rFonts w:ascii="Times New Roman" w:hAnsi="Times New Roman" w:cs="Times New Roman"/>
          <w:sz w:val="24"/>
          <w:szCs w:val="24"/>
        </w:rPr>
      </w:pPr>
    </w:p>
    <w:p w14:paraId="5A4D55CA" w14:textId="63E0FFD8" w:rsidR="0013708A" w:rsidRDefault="0013708A" w:rsidP="00697ED5">
      <w:pPr>
        <w:jc w:val="center"/>
        <w:rPr>
          <w:rFonts w:ascii="Times New Roman" w:hAnsi="Times New Roman" w:cs="Times New Roman"/>
          <w:sz w:val="24"/>
          <w:szCs w:val="24"/>
        </w:rPr>
      </w:pPr>
    </w:p>
    <w:p w14:paraId="49C3FD06" w14:textId="494FB547" w:rsidR="0013708A" w:rsidRDefault="0013708A" w:rsidP="00697ED5">
      <w:pPr>
        <w:jc w:val="center"/>
        <w:rPr>
          <w:rFonts w:ascii="Times New Roman" w:hAnsi="Times New Roman" w:cs="Times New Roman"/>
          <w:sz w:val="24"/>
          <w:szCs w:val="24"/>
        </w:rPr>
      </w:pPr>
      <w:r>
        <w:rPr>
          <w:rFonts w:ascii="Times New Roman" w:hAnsi="Times New Roman" w:cs="Times New Roman"/>
          <w:sz w:val="24"/>
          <w:szCs w:val="24"/>
        </w:rPr>
        <w:t>Works Cited:</w:t>
      </w:r>
    </w:p>
    <w:p w14:paraId="3DCC07B7" w14:textId="491E7839" w:rsidR="00324315" w:rsidRPr="00324315" w:rsidRDefault="00324315" w:rsidP="00324315">
      <w:pPr>
        <w:ind w:left="720" w:hanging="720"/>
        <w:rPr>
          <w:rFonts w:ascii="Times New Roman" w:hAnsi="Times New Roman" w:cs="Times New Roman"/>
          <w:sz w:val="24"/>
          <w:szCs w:val="24"/>
        </w:rPr>
      </w:pPr>
      <w:r>
        <w:rPr>
          <w:rFonts w:ascii="Times New Roman" w:hAnsi="Times New Roman" w:cs="Times New Roman"/>
          <w:sz w:val="24"/>
          <w:szCs w:val="24"/>
        </w:rPr>
        <w:t xml:space="preserve">Bailey, Thomas A. and David M. Kennedy. </w:t>
      </w:r>
      <w:r>
        <w:rPr>
          <w:rFonts w:ascii="Times New Roman" w:hAnsi="Times New Roman" w:cs="Times New Roman"/>
          <w:i/>
          <w:sz w:val="24"/>
          <w:szCs w:val="24"/>
        </w:rPr>
        <w:t>The American Pageant</w:t>
      </w:r>
      <w:r>
        <w:rPr>
          <w:rFonts w:ascii="Times New Roman" w:hAnsi="Times New Roman" w:cs="Times New Roman"/>
          <w:sz w:val="24"/>
          <w:szCs w:val="24"/>
        </w:rPr>
        <w:t>. 9</w:t>
      </w:r>
      <w:r w:rsidRPr="00324315">
        <w:rPr>
          <w:rFonts w:ascii="Times New Roman" w:hAnsi="Times New Roman" w:cs="Times New Roman"/>
          <w:sz w:val="24"/>
          <w:szCs w:val="24"/>
          <w:vertAlign w:val="superscript"/>
        </w:rPr>
        <w:t>th</w:t>
      </w:r>
      <w:r>
        <w:rPr>
          <w:rFonts w:ascii="Times New Roman" w:hAnsi="Times New Roman" w:cs="Times New Roman"/>
          <w:sz w:val="24"/>
          <w:szCs w:val="24"/>
        </w:rPr>
        <w:t xml:space="preserve"> ed., Heath and Company, 1991.</w:t>
      </w:r>
    </w:p>
    <w:p w14:paraId="38A47700" w14:textId="4E701B16" w:rsidR="00324315" w:rsidRPr="00324315" w:rsidRDefault="00324315" w:rsidP="00324315">
      <w:pPr>
        <w:ind w:left="720" w:hanging="720"/>
        <w:rPr>
          <w:rFonts w:ascii="Times New Roman" w:hAnsi="Times New Roman" w:cs="Times New Roman"/>
          <w:sz w:val="24"/>
          <w:szCs w:val="24"/>
        </w:rPr>
      </w:pPr>
      <w:r>
        <w:rPr>
          <w:rFonts w:ascii="Times New Roman" w:hAnsi="Times New Roman" w:cs="Times New Roman"/>
          <w:sz w:val="24"/>
          <w:szCs w:val="24"/>
        </w:rPr>
        <w:t xml:space="preserve">Bennett, William J. </w:t>
      </w:r>
      <w:r>
        <w:rPr>
          <w:rFonts w:ascii="Times New Roman" w:hAnsi="Times New Roman" w:cs="Times New Roman"/>
          <w:i/>
          <w:sz w:val="24"/>
          <w:szCs w:val="24"/>
        </w:rPr>
        <w:t>America: The Lest Best Hope</w:t>
      </w:r>
      <w:r>
        <w:rPr>
          <w:rFonts w:ascii="Times New Roman" w:hAnsi="Times New Roman" w:cs="Times New Roman"/>
          <w:sz w:val="24"/>
          <w:szCs w:val="24"/>
        </w:rPr>
        <w:t>. Nashville, Thomas Nelson, Inc, 2006.</w:t>
      </w:r>
    </w:p>
    <w:p w14:paraId="11EA533E" w14:textId="699ACB93" w:rsidR="0013708A" w:rsidRDefault="00324315" w:rsidP="00324315">
      <w:pPr>
        <w:ind w:left="720" w:hanging="720"/>
        <w:rPr>
          <w:rFonts w:ascii="Times New Roman" w:hAnsi="Times New Roman" w:cs="Times New Roman"/>
          <w:sz w:val="24"/>
          <w:szCs w:val="24"/>
        </w:rPr>
      </w:pPr>
      <w:r>
        <w:rPr>
          <w:rFonts w:ascii="Times New Roman" w:hAnsi="Times New Roman" w:cs="Times New Roman"/>
          <w:sz w:val="24"/>
          <w:szCs w:val="24"/>
        </w:rPr>
        <w:t xml:space="preserve">Bullock, Charles S., Ronald Keith </w:t>
      </w:r>
      <w:proofErr w:type="spellStart"/>
      <w:r>
        <w:rPr>
          <w:rFonts w:ascii="Times New Roman" w:hAnsi="Times New Roman" w:cs="Times New Roman"/>
          <w:sz w:val="24"/>
          <w:szCs w:val="24"/>
        </w:rPr>
        <w:t>Gaddie</w:t>
      </w:r>
      <w:proofErr w:type="spellEnd"/>
      <w:r>
        <w:rPr>
          <w:rFonts w:ascii="Times New Roman" w:hAnsi="Times New Roman" w:cs="Times New Roman"/>
          <w:sz w:val="24"/>
          <w:szCs w:val="24"/>
        </w:rPr>
        <w:t xml:space="preserve">, &amp; Justin J. Wert. </w:t>
      </w:r>
      <w:r>
        <w:rPr>
          <w:rFonts w:ascii="Times New Roman" w:hAnsi="Times New Roman" w:cs="Times New Roman"/>
          <w:i/>
          <w:sz w:val="24"/>
          <w:szCs w:val="24"/>
        </w:rPr>
        <w:t>The Rise and Fall of the Voting Rights Act</w:t>
      </w:r>
      <w:r>
        <w:rPr>
          <w:rFonts w:ascii="Times New Roman" w:hAnsi="Times New Roman" w:cs="Times New Roman"/>
          <w:sz w:val="24"/>
          <w:szCs w:val="24"/>
        </w:rPr>
        <w:t>. Norman, OK, University of Oklahoma Press, 2016.</w:t>
      </w:r>
    </w:p>
    <w:p w14:paraId="7280B36C" w14:textId="68902A6B" w:rsidR="00324315" w:rsidRPr="00324315" w:rsidRDefault="00324315" w:rsidP="00324315">
      <w:pPr>
        <w:ind w:left="720" w:hanging="720"/>
        <w:rPr>
          <w:rFonts w:ascii="Times New Roman" w:hAnsi="Times New Roman" w:cs="Times New Roman"/>
          <w:sz w:val="24"/>
          <w:szCs w:val="24"/>
        </w:rPr>
      </w:pPr>
      <w:r>
        <w:rPr>
          <w:rFonts w:ascii="Times New Roman" w:hAnsi="Times New Roman" w:cs="Times New Roman"/>
          <w:sz w:val="24"/>
          <w:szCs w:val="24"/>
        </w:rPr>
        <w:t xml:space="preserve">Hewitt, Nancy A. and Steven F. Lawson. </w:t>
      </w:r>
      <w:r>
        <w:rPr>
          <w:rFonts w:ascii="Times New Roman" w:hAnsi="Times New Roman" w:cs="Times New Roman"/>
          <w:i/>
          <w:sz w:val="24"/>
          <w:szCs w:val="24"/>
        </w:rPr>
        <w:t>Exploring American Histories</w:t>
      </w:r>
      <w:r>
        <w:rPr>
          <w:rFonts w:ascii="Times New Roman" w:hAnsi="Times New Roman" w:cs="Times New Roman"/>
          <w:sz w:val="24"/>
          <w:szCs w:val="24"/>
        </w:rPr>
        <w:t>. 2</w:t>
      </w:r>
      <w:r w:rsidRPr="00324315">
        <w:rPr>
          <w:rFonts w:ascii="Times New Roman" w:hAnsi="Times New Roman" w:cs="Times New Roman"/>
          <w:sz w:val="24"/>
          <w:szCs w:val="24"/>
          <w:vertAlign w:val="superscript"/>
        </w:rPr>
        <w:t>nd</w:t>
      </w:r>
      <w:r>
        <w:rPr>
          <w:rFonts w:ascii="Times New Roman" w:hAnsi="Times New Roman" w:cs="Times New Roman"/>
          <w:sz w:val="24"/>
          <w:szCs w:val="24"/>
        </w:rPr>
        <w:t xml:space="preserve"> ed., Bedford/ St. Martin’s, 2017.</w:t>
      </w:r>
    </w:p>
    <w:p w14:paraId="714D51C4" w14:textId="77777777" w:rsidR="00324315" w:rsidRPr="00324315" w:rsidRDefault="00324315" w:rsidP="0013708A">
      <w:pPr>
        <w:rPr>
          <w:rFonts w:ascii="Times New Roman" w:hAnsi="Times New Roman" w:cs="Times New Roman"/>
          <w:sz w:val="24"/>
          <w:szCs w:val="24"/>
        </w:rPr>
      </w:pPr>
    </w:p>
    <w:sectPr w:rsidR="00324315" w:rsidRPr="003243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3C7A" w14:textId="77777777" w:rsidR="00555FA2" w:rsidRDefault="00555FA2" w:rsidP="00E51335">
      <w:pPr>
        <w:spacing w:after="0" w:line="240" w:lineRule="auto"/>
      </w:pPr>
      <w:r>
        <w:separator/>
      </w:r>
    </w:p>
  </w:endnote>
  <w:endnote w:type="continuationSeparator" w:id="0">
    <w:p w14:paraId="035F1052" w14:textId="77777777" w:rsidR="00555FA2" w:rsidRDefault="00555FA2" w:rsidP="00E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97CD4" w14:textId="77777777" w:rsidR="00555FA2" w:rsidRDefault="00555FA2" w:rsidP="00E51335">
      <w:pPr>
        <w:spacing w:after="0" w:line="240" w:lineRule="auto"/>
      </w:pPr>
      <w:r>
        <w:separator/>
      </w:r>
    </w:p>
  </w:footnote>
  <w:footnote w:type="continuationSeparator" w:id="0">
    <w:p w14:paraId="1EA497FC" w14:textId="77777777" w:rsidR="00555FA2" w:rsidRDefault="00555FA2" w:rsidP="00E513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6731"/>
      <w:docPartObj>
        <w:docPartGallery w:val="Page Numbers (Top of Page)"/>
        <w:docPartUnique/>
      </w:docPartObj>
    </w:sdtPr>
    <w:sdtEndPr>
      <w:rPr>
        <w:rFonts w:ascii="Times New Roman" w:hAnsi="Times New Roman" w:cs="Times New Roman"/>
        <w:noProof/>
        <w:sz w:val="24"/>
        <w:szCs w:val="24"/>
      </w:rPr>
    </w:sdtEndPr>
    <w:sdtContent>
      <w:p w14:paraId="2D62631E" w14:textId="3069E531" w:rsidR="00E51335" w:rsidRPr="00E51335" w:rsidRDefault="005A708B">
        <w:pPr>
          <w:pStyle w:val="Header"/>
          <w:jc w:val="right"/>
          <w:rPr>
            <w:rFonts w:ascii="Times New Roman" w:hAnsi="Times New Roman" w:cs="Times New Roman"/>
            <w:sz w:val="24"/>
            <w:szCs w:val="24"/>
          </w:rPr>
        </w:pPr>
        <w:r>
          <w:rPr>
            <w:rFonts w:ascii="Times New Roman" w:hAnsi="Times New Roman" w:cs="Times New Roman"/>
            <w:sz w:val="24"/>
            <w:szCs w:val="24"/>
          </w:rPr>
          <w:t>Page</w:t>
        </w:r>
        <w:r w:rsidR="00E51335" w:rsidRPr="00E51335">
          <w:rPr>
            <w:rFonts w:ascii="Times New Roman" w:hAnsi="Times New Roman" w:cs="Times New Roman"/>
            <w:sz w:val="24"/>
            <w:szCs w:val="24"/>
          </w:rPr>
          <w:t xml:space="preserve"> </w:t>
        </w:r>
        <w:r w:rsidR="00E51335" w:rsidRPr="00E51335">
          <w:rPr>
            <w:rFonts w:ascii="Times New Roman" w:hAnsi="Times New Roman" w:cs="Times New Roman"/>
            <w:sz w:val="24"/>
            <w:szCs w:val="24"/>
          </w:rPr>
          <w:fldChar w:fldCharType="begin"/>
        </w:r>
        <w:r w:rsidR="00E51335" w:rsidRPr="00E51335">
          <w:rPr>
            <w:rFonts w:ascii="Times New Roman" w:hAnsi="Times New Roman" w:cs="Times New Roman"/>
            <w:sz w:val="24"/>
            <w:szCs w:val="24"/>
          </w:rPr>
          <w:instrText xml:space="preserve"> PAGE   \* MERGEFORMAT </w:instrText>
        </w:r>
        <w:r w:rsidR="00E51335" w:rsidRPr="00E51335">
          <w:rPr>
            <w:rFonts w:ascii="Times New Roman" w:hAnsi="Times New Roman" w:cs="Times New Roman"/>
            <w:sz w:val="24"/>
            <w:szCs w:val="24"/>
          </w:rPr>
          <w:fldChar w:fldCharType="separate"/>
        </w:r>
        <w:r w:rsidR="008662BF">
          <w:rPr>
            <w:rFonts w:ascii="Times New Roman" w:hAnsi="Times New Roman" w:cs="Times New Roman"/>
            <w:noProof/>
            <w:sz w:val="24"/>
            <w:szCs w:val="24"/>
          </w:rPr>
          <w:t>1</w:t>
        </w:r>
        <w:r w:rsidR="00E51335" w:rsidRPr="00E51335">
          <w:rPr>
            <w:rFonts w:ascii="Times New Roman" w:hAnsi="Times New Roman" w:cs="Times New Roman"/>
            <w:noProof/>
            <w:sz w:val="24"/>
            <w:szCs w:val="24"/>
          </w:rPr>
          <w:fldChar w:fldCharType="end"/>
        </w:r>
      </w:p>
    </w:sdtContent>
  </w:sdt>
  <w:p w14:paraId="19BCFFCD" w14:textId="77777777" w:rsidR="00E51335" w:rsidRDefault="00E51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CC"/>
    <w:rsid w:val="0013708A"/>
    <w:rsid w:val="001715C4"/>
    <w:rsid w:val="00217FC1"/>
    <w:rsid w:val="00245DC2"/>
    <w:rsid w:val="00253A7A"/>
    <w:rsid w:val="002E73CB"/>
    <w:rsid w:val="00324315"/>
    <w:rsid w:val="00422744"/>
    <w:rsid w:val="0047594C"/>
    <w:rsid w:val="004910CC"/>
    <w:rsid w:val="00507654"/>
    <w:rsid w:val="00555FA2"/>
    <w:rsid w:val="00564415"/>
    <w:rsid w:val="005A708B"/>
    <w:rsid w:val="006247DB"/>
    <w:rsid w:val="00697ED5"/>
    <w:rsid w:val="006D0FA7"/>
    <w:rsid w:val="006E701E"/>
    <w:rsid w:val="007560A6"/>
    <w:rsid w:val="007A3E32"/>
    <w:rsid w:val="00821F7B"/>
    <w:rsid w:val="0086390F"/>
    <w:rsid w:val="008662BF"/>
    <w:rsid w:val="00A92E42"/>
    <w:rsid w:val="00AB766B"/>
    <w:rsid w:val="00B863DF"/>
    <w:rsid w:val="00BC4F97"/>
    <w:rsid w:val="00C770CC"/>
    <w:rsid w:val="00D512EC"/>
    <w:rsid w:val="00D56DC6"/>
    <w:rsid w:val="00D7105F"/>
    <w:rsid w:val="00DD3AC6"/>
    <w:rsid w:val="00DF3C1E"/>
    <w:rsid w:val="00E40E44"/>
    <w:rsid w:val="00E51335"/>
    <w:rsid w:val="00E724AD"/>
    <w:rsid w:val="00E76432"/>
    <w:rsid w:val="00E87B6B"/>
    <w:rsid w:val="00EB0F83"/>
    <w:rsid w:val="00EB2B53"/>
    <w:rsid w:val="00EC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B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35"/>
  </w:style>
  <w:style w:type="paragraph" w:styleId="Footer">
    <w:name w:val="footer"/>
    <w:basedOn w:val="Normal"/>
    <w:link w:val="FooterChar"/>
    <w:uiPriority w:val="99"/>
    <w:unhideWhenUsed/>
    <w:rsid w:val="00E5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35"/>
  </w:style>
  <w:style w:type="paragraph" w:styleId="Footer">
    <w:name w:val="footer"/>
    <w:basedOn w:val="Normal"/>
    <w:link w:val="FooterChar"/>
    <w:uiPriority w:val="99"/>
    <w:unhideWhenUsed/>
    <w:rsid w:val="00E5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077">
      <w:bodyDiv w:val="1"/>
      <w:marLeft w:val="0"/>
      <w:marRight w:val="0"/>
      <w:marTop w:val="0"/>
      <w:marBottom w:val="0"/>
      <w:divBdr>
        <w:top w:val="none" w:sz="0" w:space="0" w:color="auto"/>
        <w:left w:val="none" w:sz="0" w:space="0" w:color="auto"/>
        <w:bottom w:val="none" w:sz="0" w:space="0" w:color="auto"/>
        <w:right w:val="none" w:sz="0" w:space="0" w:color="auto"/>
      </w:divBdr>
    </w:div>
    <w:div w:id="400907303">
      <w:bodyDiv w:val="1"/>
      <w:marLeft w:val="0"/>
      <w:marRight w:val="0"/>
      <w:marTop w:val="0"/>
      <w:marBottom w:val="0"/>
      <w:divBdr>
        <w:top w:val="none" w:sz="0" w:space="0" w:color="auto"/>
        <w:left w:val="none" w:sz="0" w:space="0" w:color="auto"/>
        <w:bottom w:val="none" w:sz="0" w:space="0" w:color="auto"/>
        <w:right w:val="none" w:sz="0" w:space="0" w:color="auto"/>
      </w:divBdr>
    </w:div>
    <w:div w:id="409811650">
      <w:bodyDiv w:val="1"/>
      <w:marLeft w:val="0"/>
      <w:marRight w:val="0"/>
      <w:marTop w:val="0"/>
      <w:marBottom w:val="0"/>
      <w:divBdr>
        <w:top w:val="none" w:sz="0" w:space="0" w:color="auto"/>
        <w:left w:val="none" w:sz="0" w:space="0" w:color="auto"/>
        <w:bottom w:val="none" w:sz="0" w:space="0" w:color="auto"/>
        <w:right w:val="none" w:sz="0" w:space="0" w:color="auto"/>
      </w:divBdr>
    </w:div>
    <w:div w:id="689991088">
      <w:bodyDiv w:val="1"/>
      <w:marLeft w:val="0"/>
      <w:marRight w:val="0"/>
      <w:marTop w:val="0"/>
      <w:marBottom w:val="0"/>
      <w:divBdr>
        <w:top w:val="none" w:sz="0" w:space="0" w:color="auto"/>
        <w:left w:val="none" w:sz="0" w:space="0" w:color="auto"/>
        <w:bottom w:val="none" w:sz="0" w:space="0" w:color="auto"/>
        <w:right w:val="none" w:sz="0" w:space="0" w:color="auto"/>
      </w:divBdr>
    </w:div>
    <w:div w:id="889726729">
      <w:bodyDiv w:val="1"/>
      <w:marLeft w:val="0"/>
      <w:marRight w:val="0"/>
      <w:marTop w:val="0"/>
      <w:marBottom w:val="0"/>
      <w:divBdr>
        <w:top w:val="none" w:sz="0" w:space="0" w:color="auto"/>
        <w:left w:val="none" w:sz="0" w:space="0" w:color="auto"/>
        <w:bottom w:val="none" w:sz="0" w:space="0" w:color="auto"/>
        <w:right w:val="none" w:sz="0" w:space="0" w:color="auto"/>
      </w:divBdr>
    </w:div>
    <w:div w:id="910895839">
      <w:bodyDiv w:val="1"/>
      <w:marLeft w:val="0"/>
      <w:marRight w:val="0"/>
      <w:marTop w:val="0"/>
      <w:marBottom w:val="0"/>
      <w:divBdr>
        <w:top w:val="none" w:sz="0" w:space="0" w:color="auto"/>
        <w:left w:val="none" w:sz="0" w:space="0" w:color="auto"/>
        <w:bottom w:val="none" w:sz="0" w:space="0" w:color="auto"/>
        <w:right w:val="none" w:sz="0" w:space="0" w:color="auto"/>
      </w:divBdr>
    </w:div>
    <w:div w:id="1294364103">
      <w:bodyDiv w:val="1"/>
      <w:marLeft w:val="0"/>
      <w:marRight w:val="0"/>
      <w:marTop w:val="0"/>
      <w:marBottom w:val="0"/>
      <w:divBdr>
        <w:top w:val="none" w:sz="0" w:space="0" w:color="auto"/>
        <w:left w:val="none" w:sz="0" w:space="0" w:color="auto"/>
        <w:bottom w:val="none" w:sz="0" w:space="0" w:color="auto"/>
        <w:right w:val="none" w:sz="0" w:space="0" w:color="auto"/>
      </w:divBdr>
    </w:div>
    <w:div w:id="1915968392">
      <w:bodyDiv w:val="1"/>
      <w:marLeft w:val="0"/>
      <w:marRight w:val="0"/>
      <w:marTop w:val="0"/>
      <w:marBottom w:val="0"/>
      <w:divBdr>
        <w:top w:val="none" w:sz="0" w:space="0" w:color="auto"/>
        <w:left w:val="none" w:sz="0" w:space="0" w:color="auto"/>
        <w:bottom w:val="none" w:sz="0" w:space="0" w:color="auto"/>
        <w:right w:val="none" w:sz="0" w:space="0" w:color="auto"/>
      </w:divBdr>
    </w:div>
    <w:div w:id="2038311275">
      <w:bodyDiv w:val="1"/>
      <w:marLeft w:val="0"/>
      <w:marRight w:val="0"/>
      <w:marTop w:val="0"/>
      <w:marBottom w:val="0"/>
      <w:divBdr>
        <w:top w:val="none" w:sz="0" w:space="0" w:color="auto"/>
        <w:left w:val="none" w:sz="0" w:space="0" w:color="auto"/>
        <w:bottom w:val="none" w:sz="0" w:space="0" w:color="auto"/>
        <w:right w:val="none" w:sz="0" w:space="0" w:color="auto"/>
      </w:divBdr>
    </w:div>
    <w:div w:id="20991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9</Pages>
  <Words>2215</Words>
  <Characters>12631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Huff</dc:creator>
  <cp:keywords/>
  <dc:description/>
  <cp:lastModifiedBy>Adam Rutkowski</cp:lastModifiedBy>
  <cp:revision>13</cp:revision>
  <dcterms:created xsi:type="dcterms:W3CDTF">2019-04-14T23:46:00Z</dcterms:created>
  <dcterms:modified xsi:type="dcterms:W3CDTF">2019-04-30T10:31:00Z</dcterms:modified>
</cp:coreProperties>
</file>